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31BB3" w14:textId="77777777" w:rsidR="00D803E7" w:rsidRPr="00D803E7" w:rsidRDefault="00D803E7" w:rsidP="00497DA9">
      <w:pPr>
        <w:spacing w:after="0" w:line="480" w:lineRule="auto"/>
        <w:contextualSpacing/>
        <w:jc w:val="center"/>
        <w:rPr>
          <w:rFonts w:ascii="Times New Roman" w:eastAsia="Times New Roman" w:hAnsi="Times New Roman" w:cs="Times New Roman"/>
          <w:b/>
          <w:bCs/>
          <w:color w:val="000000"/>
          <w:kern w:val="0"/>
          <w14:ligatures w14:val="none"/>
        </w:rPr>
      </w:pPr>
      <w:r w:rsidRPr="00D803E7">
        <w:rPr>
          <w:rFonts w:ascii="Times New Roman" w:eastAsia="Times New Roman" w:hAnsi="Times New Roman" w:cs="Times New Roman"/>
          <w:b/>
          <w:bCs/>
          <w:color w:val="000000"/>
          <w:kern w:val="0"/>
          <w14:ligatures w14:val="none"/>
        </w:rPr>
        <w:t>Incarceration, reentry, and democracy</w:t>
      </w:r>
    </w:p>
    <w:p w14:paraId="41F5AFB5" w14:textId="2284209D" w:rsidR="00F21FB0" w:rsidRPr="00D803E7" w:rsidRDefault="00D803E7" w:rsidP="00D803E7">
      <w:pPr>
        <w:spacing w:after="0" w:line="480" w:lineRule="auto"/>
        <w:contextualSpacing/>
        <w:jc w:val="center"/>
        <w:rPr>
          <w:rFonts w:ascii="Times New Roman" w:eastAsia="Times New Roman" w:hAnsi="Times New Roman" w:cs="Times New Roman"/>
          <w:b/>
          <w:bCs/>
          <w:color w:val="000000"/>
          <w:kern w:val="0"/>
          <w14:ligatures w14:val="none"/>
        </w:rPr>
      </w:pPr>
      <w:r w:rsidRPr="00D803E7">
        <w:rPr>
          <w:rFonts w:ascii="Times New Roman" w:eastAsia="Times New Roman" w:hAnsi="Times New Roman" w:cs="Times New Roman"/>
          <w:b/>
          <w:bCs/>
          <w:color w:val="000000"/>
          <w:kern w:val="0"/>
          <w14:ligatures w14:val="none"/>
        </w:rPr>
        <w:t>What can we learn from</w:t>
      </w:r>
      <w:r w:rsidR="00F21FB0" w:rsidRPr="00D803E7">
        <w:rPr>
          <w:rFonts w:ascii="Times New Roman" w:eastAsia="Times New Roman" w:hAnsi="Times New Roman" w:cs="Times New Roman"/>
          <w:b/>
          <w:bCs/>
          <w:color w:val="000000"/>
          <w:kern w:val="0"/>
          <w14:ligatures w14:val="none"/>
        </w:rPr>
        <w:t xml:space="preserve"> the formerly incarcerated?</w:t>
      </w:r>
    </w:p>
    <w:p w14:paraId="075D9906" w14:textId="77777777" w:rsidR="00A12EB1" w:rsidRPr="00497DA9" w:rsidRDefault="00A12EB1" w:rsidP="00497DA9">
      <w:pPr>
        <w:spacing w:after="0" w:line="480" w:lineRule="auto"/>
        <w:contextualSpacing/>
        <w:rPr>
          <w:rFonts w:ascii="Times New Roman" w:hAnsi="Times New Roman" w:cs="Times New Roman"/>
        </w:rPr>
      </w:pPr>
    </w:p>
    <w:p w14:paraId="084DE40F" w14:textId="7AE20D10" w:rsidR="00FD740D" w:rsidRPr="008C37B2" w:rsidRDefault="00083267" w:rsidP="00FD740D">
      <w:pPr>
        <w:pStyle w:val="ListParagraph"/>
        <w:spacing w:after="0" w:line="480" w:lineRule="auto"/>
        <w:ind w:left="0"/>
        <w:rPr>
          <w:rFonts w:ascii="Times New Roman" w:hAnsi="Times New Roman" w:cs="Times New Roman"/>
          <w:b/>
          <w:bCs/>
        </w:rPr>
      </w:pPr>
      <w:r>
        <w:rPr>
          <w:rFonts w:ascii="Times New Roman" w:hAnsi="Times New Roman" w:cs="Times New Roman"/>
          <w:b/>
          <w:bCs/>
        </w:rPr>
        <w:t xml:space="preserve">An </w:t>
      </w:r>
      <w:r w:rsidR="00FD740D" w:rsidRPr="008C37B2">
        <w:rPr>
          <w:rFonts w:ascii="Times New Roman" w:hAnsi="Times New Roman" w:cs="Times New Roman"/>
          <w:b/>
          <w:bCs/>
        </w:rPr>
        <w:t>Overview of Mass Incarceration</w:t>
      </w:r>
      <w:r w:rsidR="00FD740D">
        <w:rPr>
          <w:rFonts w:ascii="Times New Roman" w:hAnsi="Times New Roman" w:cs="Times New Roman"/>
          <w:b/>
          <w:bCs/>
        </w:rPr>
        <w:t xml:space="preserve"> in the United States</w:t>
      </w:r>
    </w:p>
    <w:p w14:paraId="19C91C88" w14:textId="4D416ED4" w:rsidR="00171B10" w:rsidRDefault="00171B10" w:rsidP="00D803E7">
      <w:pPr>
        <w:pStyle w:val="BodyText"/>
        <w:ind w:firstLine="0"/>
      </w:pPr>
      <w:r w:rsidRPr="00022EC8">
        <w:t>The United States incarcerates more humans in raw numbers than any other country. In fact, in 201</w:t>
      </w:r>
      <w:r>
        <w:t>4</w:t>
      </w:r>
      <w:r w:rsidRPr="00022EC8">
        <w:t>, the National Research Council reported that “[t]he U.S. penal population of [then] 2.2 million adults [was] the largest in the world [and that] close to 25 percent of the world’s prisoners were held in American prisons, although the United States account[ed] for about 5 percent of the world’s population.”</w:t>
      </w:r>
      <w:r w:rsidRPr="00022EC8">
        <w:rPr>
          <w:vertAlign w:val="superscript"/>
        </w:rPr>
        <w:footnoteReference w:id="1"/>
      </w:r>
      <w:r w:rsidRPr="00022EC8">
        <w:t xml:space="preserve"> The number today is </w:t>
      </w:r>
      <w:r>
        <w:t>lower—</w:t>
      </w:r>
      <w:r w:rsidRPr="00022EC8">
        <w:t>closer to 20 percent</w:t>
      </w:r>
      <w:r>
        <w:t xml:space="preserve"> of the world’s prisoners—partly</w:t>
      </w:r>
      <w:r w:rsidRPr="00022EC8">
        <w:t xml:space="preserve"> reflecting changes to sentencing policies in a handful of populous states</w:t>
      </w:r>
      <w:r>
        <w:t>.</w:t>
      </w:r>
      <w:r w:rsidRPr="00022EC8">
        <w:rPr>
          <w:vertAlign w:val="superscript"/>
        </w:rPr>
        <w:footnoteReference w:id="2"/>
      </w:r>
    </w:p>
    <w:p w14:paraId="5DAB0ED2" w14:textId="450C48A4" w:rsidR="00171B10" w:rsidRPr="00171B10" w:rsidRDefault="00171B10" w:rsidP="00171B10">
      <w:pPr>
        <w:pStyle w:val="BodyText"/>
      </w:pPr>
      <w:r w:rsidRPr="00171B10">
        <w:t>It hasn’t always been this way. The United States hasn’t always incarcerated so many people. For a century before the current escalation, the national incarceration rate had fluctuated somewhat, responding mostly to changes in the economy, particularly the unemployment rate. In fact, in the 1970s some criminologists theorized that forces of “societal homeostasis” would constrain the use of imprisonment within a limited range.</w:t>
      </w:r>
      <w:r w:rsidRPr="00171B10">
        <w:rPr>
          <w:vertAlign w:val="superscript"/>
        </w:rPr>
        <w:footnoteReference w:id="3"/>
      </w:r>
      <w:r w:rsidRPr="00171B10">
        <w:t xml:space="preserve"> (Of course, others writing at around the same time did identify an alarming acceleration of </w:t>
      </w:r>
      <w:r w:rsidRPr="00171B10">
        <w:lastRenderedPageBreak/>
        <w:t>the rate of incarceration beginning in the 1970s.</w:t>
      </w:r>
      <w:r w:rsidRPr="00171B10">
        <w:rPr>
          <w:vertAlign w:val="superscript"/>
        </w:rPr>
        <w:footnoteReference w:id="4"/>
      </w:r>
      <w:r w:rsidRPr="00171B10">
        <w:t xml:space="preserve">) However, although the incarceration rates in 1935, 1955, and 1975 were virtually identical (113, 112, and 111, respectively), the changes that followed in the years since have been nothing short of extraordinary. </w:t>
      </w:r>
      <w:r>
        <w:t>T</w:t>
      </w:r>
      <w:r w:rsidRPr="00171B10">
        <w:t xml:space="preserve">he 1980s and the ensuing decades saw the United States chart a new course in the use of confinement as social policy. Attempts to describe this historical newness, as well as its international uniqueness, lie behind lexical innovations like </w:t>
      </w:r>
      <w:r w:rsidRPr="00171B10">
        <w:rPr>
          <w:i/>
        </w:rPr>
        <w:t>prison-industrial complex</w:t>
      </w:r>
      <w:r w:rsidRPr="00171B10">
        <w:t xml:space="preserve"> and </w:t>
      </w:r>
      <w:r w:rsidRPr="00171B10">
        <w:rPr>
          <w:i/>
        </w:rPr>
        <w:t>mass incarceration</w:t>
      </w:r>
      <w:r w:rsidRPr="00171B10">
        <w:t>. Both phrases emerged toward the end of the twentieth century within movements seeking to address the harms of the U.S. CLS, particularly its disproportionate impact on people of African descent. They then found their way into journalistic and scholarly print.</w:t>
      </w:r>
    </w:p>
    <w:p w14:paraId="56441661" w14:textId="14AF920F" w:rsidR="00590886" w:rsidRDefault="00590886" w:rsidP="00590886">
      <w:pPr>
        <w:pStyle w:val="BodyText"/>
      </w:pPr>
      <w:r>
        <w:t>The aggregation of data in national statistics can hide the most alarming features of mass incarceration. Following the U.S. Civil War (1861–1865), the breakaway states in the South came under direct federal military rule. Former Confederate soldiers were stripped of the right to vote, and the states wrote new constitutions before being readmitted to the Union.</w:t>
      </w:r>
      <w:r w:rsidRPr="007E0D7B">
        <w:rPr>
          <w:rStyle w:val="FootnoteReference"/>
        </w:rPr>
        <w:t xml:space="preserve"> </w:t>
      </w:r>
      <w:r>
        <w:rPr>
          <w:rStyle w:val="FootnoteReference"/>
        </w:rPr>
        <w:footnoteReference w:id="5"/>
      </w:r>
      <w:r>
        <w:t xml:space="preserve"> During this time, large numbers of African Americans voted.</w:t>
      </w:r>
      <w:r>
        <w:rPr>
          <w:rStyle w:val="FootnoteReference"/>
        </w:rPr>
        <w:footnoteReference w:id="6"/>
      </w:r>
      <w:r>
        <w:t xml:space="preserve"> Mississippi sent two Black men to the U.S. Senate, and South Carolina elected a majority-Black state legislature.</w:t>
      </w:r>
      <w:r>
        <w:rPr>
          <w:rStyle w:val="FootnoteReference"/>
        </w:rPr>
        <w:footnoteReference w:id="7"/>
      </w:r>
      <w:r>
        <w:t xml:space="preserve"> This period, known as Reconstruction, lasted until federal troops finally withdrew from the South in 1877. However, the U.S. Congress restored the vote to former Confederates in </w:t>
      </w:r>
      <w:r>
        <w:lastRenderedPageBreak/>
        <w:t>1872.</w:t>
      </w:r>
      <w:r>
        <w:rPr>
          <w:rStyle w:val="FootnoteReference"/>
        </w:rPr>
        <w:footnoteReference w:id="8"/>
      </w:r>
      <w:r>
        <w:t xml:space="preserve"> After regaining the vote, White Southerners retook control of state and local governments, rewrote the new state constitutions, and found ways to circumvent new federal protections related to slavery, equality under the law, and the right to vote that were thought to have been enshrined in the 13th, 14th, and 15th Amendments to the U.S. Constitution. They achieved this reversal of power through a combination of legal machinations</w:t>
      </w:r>
      <w:r w:rsidRPr="004678E4">
        <w:rPr>
          <w:rStyle w:val="FootnoteReference"/>
        </w:rPr>
        <w:footnoteReference w:id="9"/>
      </w:r>
      <w:r>
        <w:t xml:space="preserve"> and</w:t>
      </w:r>
      <w:r w:rsidRPr="00D624AE">
        <w:t xml:space="preserve"> </w:t>
      </w:r>
      <w:r>
        <w:t>political terrorism.</w:t>
      </w:r>
      <w:r w:rsidRPr="00D97EF0">
        <w:rPr>
          <w:rStyle w:val="FootnoteReference"/>
        </w:rPr>
        <w:t xml:space="preserve"> </w:t>
      </w:r>
      <w:r w:rsidRPr="004678E4">
        <w:rPr>
          <w:rStyle w:val="FootnoteReference"/>
        </w:rPr>
        <w:footnoteReference w:id="10"/>
      </w:r>
      <w:r>
        <w:t xml:space="preserve"> Despite incomplete records, the Equal Justice Initiative has documented 34 mass lynchings throughout the South </w:t>
      </w:r>
      <w:r w:rsidRPr="00D97EF0">
        <w:rPr>
          <w:i/>
          <w:iCs w:val="0"/>
        </w:rPr>
        <w:t>during</w:t>
      </w:r>
      <w:r>
        <w:t xml:space="preserve"> Reconstruction</w:t>
      </w:r>
      <w:r>
        <w:rPr>
          <w:rStyle w:val="FootnoteReference"/>
        </w:rPr>
        <w:footnoteReference w:id="11"/>
      </w:r>
      <w:r>
        <w:t xml:space="preserve"> (i.e., </w:t>
      </w:r>
      <w:r w:rsidRPr="00590886">
        <w:rPr>
          <w:i/>
          <w:iCs w:val="0"/>
        </w:rPr>
        <w:t>before</w:t>
      </w:r>
      <w:r>
        <w:t xml:space="preserve"> the dawn of the period known as the “nadir” of U.S. race relations</w:t>
      </w:r>
      <w:r>
        <w:rPr>
          <w:rStyle w:val="FootnoteReference"/>
        </w:rPr>
        <w:footnoteReference w:id="12"/>
      </w:r>
      <w:r>
        <w:t>). In at least five of these, more than 100 Black people were killed by White mobs.</w:t>
      </w:r>
      <w:r>
        <w:rPr>
          <w:rStyle w:val="FootnoteReference"/>
        </w:rPr>
        <w:footnoteReference w:id="13"/>
      </w:r>
      <w:r>
        <w:t xml:space="preserve"> In other cases, entire families were lynched, as when Daniel Blue’s wife and five children were murdered by a White mob in Moore County, North Carolina following Blue’s testimony against White men for acts of racist violence.</w:t>
      </w:r>
      <w:r>
        <w:rPr>
          <w:rStyle w:val="FootnoteReference"/>
        </w:rPr>
        <w:footnoteReference w:id="14"/>
      </w:r>
      <w:r>
        <w:t xml:space="preserve"> Control of Southern governments quickly reverted to the hands of Whites following the re-enfranchisement of former Confederates, an epidemic of anti-Black violence, and a hands-off policy on the part of the federal government. Well before Reconstruction formally ended, Georgia and Virginia elected former Confederate military officers as governor and all former Confederate states “rewrote their constitutions to restrict voting rights using poll taxes, literacy tests, and felon disenfranchisement.”</w:t>
      </w:r>
      <w:r>
        <w:rPr>
          <w:rStyle w:val="FootnoteReference"/>
        </w:rPr>
        <w:footnoteReference w:id="15"/>
      </w:r>
    </w:p>
    <w:p w14:paraId="7D1B4826" w14:textId="26C2C181" w:rsidR="00590886" w:rsidRDefault="00590886" w:rsidP="00590886">
      <w:pPr>
        <w:pStyle w:val="BodyText"/>
        <w:ind w:firstLine="0"/>
      </w:pPr>
    </w:p>
    <w:p w14:paraId="73E60307" w14:textId="77777777" w:rsidR="00590886" w:rsidRPr="00590886" w:rsidRDefault="00590886" w:rsidP="00590886">
      <w:pPr>
        <w:spacing w:after="0" w:line="480" w:lineRule="auto"/>
        <w:rPr>
          <w:rFonts w:ascii="Times New Roman" w:hAnsi="Times New Roman" w:cs="Times New Roman"/>
          <w:b/>
          <w:bCs/>
        </w:rPr>
      </w:pPr>
      <w:r w:rsidRPr="00590886">
        <w:rPr>
          <w:rFonts w:ascii="Times New Roman" w:hAnsi="Times New Roman" w:cs="Times New Roman"/>
          <w:b/>
          <w:bCs/>
        </w:rPr>
        <w:t>Beyond Incarceration: Barriers Faced During Reentry in the United States</w:t>
      </w:r>
    </w:p>
    <w:p w14:paraId="61339E7F" w14:textId="43951F8B" w:rsidR="00E5513C" w:rsidRDefault="00472E83" w:rsidP="00472E83">
      <w:pPr>
        <w:spacing w:after="0" w:line="480" w:lineRule="auto"/>
        <w:rPr>
          <w:rFonts w:ascii="Times New Roman" w:hAnsi="Times New Roman" w:cs="Times New Roman"/>
        </w:rPr>
      </w:pPr>
      <w:r>
        <w:rPr>
          <w:rFonts w:ascii="Times New Roman" w:hAnsi="Times New Roman" w:cs="Times New Roman"/>
        </w:rPr>
        <w:t xml:space="preserve">In January, 2025, I was fortunate enough to interview Steven Mangual, the southeast justice advocate coordinator for Latino Justice/PRLDEF, a legal reform and advocacy civil rights organization. Mangual </w:t>
      </w:r>
      <w:r w:rsidR="00EC5F86">
        <w:rPr>
          <w:rFonts w:ascii="Times New Roman" w:hAnsi="Times New Roman" w:cs="Times New Roman"/>
        </w:rPr>
        <w:t>served 1</w:t>
      </w:r>
      <w:r w:rsidR="00E5513C">
        <w:rPr>
          <w:rFonts w:ascii="Times New Roman" w:hAnsi="Times New Roman" w:cs="Times New Roman"/>
        </w:rPr>
        <w:t>4</w:t>
      </w:r>
      <w:r w:rsidR="00EC5F86">
        <w:rPr>
          <w:rFonts w:ascii="Times New Roman" w:hAnsi="Times New Roman" w:cs="Times New Roman"/>
        </w:rPr>
        <w:t xml:space="preserve"> years out of a 24-year prison sentence in New York for a violent felony he committed </w:t>
      </w:r>
      <w:r w:rsidR="00E5513C">
        <w:rPr>
          <w:rFonts w:ascii="Times New Roman" w:hAnsi="Times New Roman" w:cs="Times New Roman"/>
        </w:rPr>
        <w:t>when he was 20.</w:t>
      </w:r>
      <w:r w:rsidR="00A9720E">
        <w:rPr>
          <w:rFonts w:ascii="Times New Roman" w:hAnsi="Times New Roman" w:cs="Times New Roman"/>
        </w:rPr>
        <w:t xml:space="preserve"> In the interview, he describes the events of his early life as “typical” for a Puerto Rican young person growing up poor in the Bronx during the 1970s and 1980s: his single mother’s struggles with addiction and mental health, his abusive step fathers, and his gravitation toward gangs, illicit drugs, and crime. He was arrested a half dozen times as a teen, with his final arrest leading to his prison time occurring within a year and half of the death of his mother and sister. He characterized himself as having no hope, no support, and no expectation of a future other than prison. At one point in his incarceration, he spent four months (127 days) in solitary confinement</w:t>
      </w:r>
      <w:r w:rsidR="00E5513C">
        <w:rPr>
          <w:rFonts w:ascii="Times New Roman" w:hAnsi="Times New Roman" w:cs="Times New Roman"/>
        </w:rPr>
        <w:t>, isolated 24 hours a day, with one hour outdoors but still isolated from other prisoners</w:t>
      </w:r>
      <w:r w:rsidR="004B58EB">
        <w:rPr>
          <w:rFonts w:ascii="Times New Roman" w:hAnsi="Times New Roman" w:cs="Times New Roman"/>
        </w:rPr>
        <w:t>:</w:t>
      </w:r>
    </w:p>
    <w:p w14:paraId="56967682" w14:textId="1A95FD9D" w:rsidR="004B58EB" w:rsidRDefault="004B58EB" w:rsidP="00EF0954">
      <w:pPr>
        <w:spacing w:after="0" w:line="480" w:lineRule="auto"/>
        <w:ind w:left="720" w:right="720"/>
        <w:rPr>
          <w:rFonts w:ascii="Times New Roman" w:hAnsi="Times New Roman" w:cs="Times New Roman"/>
        </w:rPr>
      </w:pPr>
      <w:r>
        <w:rPr>
          <w:rFonts w:ascii="Times New Roman" w:hAnsi="Times New Roman" w:cs="Times New Roman"/>
        </w:rPr>
        <w:t>It was like no experience ever. After a while, you know, the sensory deprivation, the inability to control the lighting, and the inability to have regular sleep patterns. There was a lot of noise there</w:t>
      </w:r>
      <w:r w:rsidR="00EF0954">
        <w:rPr>
          <w:rFonts w:ascii="Times New Roman" w:hAnsi="Times New Roman" w:cs="Times New Roman"/>
        </w:rPr>
        <w:t xml:space="preserve"> Upstate</w:t>
      </w:r>
      <w:r>
        <w:rPr>
          <w:rFonts w:ascii="Times New Roman" w:hAnsi="Times New Roman" w:cs="Times New Roman"/>
        </w:rPr>
        <w:t>. There was a lot of abuse taking place because people were mentally ill</w:t>
      </w:r>
      <w:r w:rsidR="00EF0954">
        <w:rPr>
          <w:rFonts w:ascii="Times New Roman" w:hAnsi="Times New Roman" w:cs="Times New Roman"/>
        </w:rPr>
        <w:t>,</w:t>
      </w:r>
      <w:r>
        <w:rPr>
          <w:rFonts w:ascii="Times New Roman" w:hAnsi="Times New Roman" w:cs="Times New Roman"/>
        </w:rPr>
        <w:t xml:space="preserve"> and they were just being abused by the correctional officers. I was next door to a guy who got beat up badly</w:t>
      </w:r>
      <w:r w:rsidR="00EF0954">
        <w:rPr>
          <w:rFonts w:ascii="Times New Roman" w:hAnsi="Times New Roman" w:cs="Times New Roman"/>
        </w:rPr>
        <w:t xml:space="preserve"> and taken out, you know, by the [correctional officers]. After a while, you’re just sitting there staring at the walls and they just start moving. </w:t>
      </w:r>
      <w:r>
        <w:rPr>
          <w:rFonts w:ascii="Times New Roman" w:hAnsi="Times New Roman" w:cs="Times New Roman"/>
        </w:rPr>
        <w:t>(</w:t>
      </w:r>
      <w:r w:rsidR="00EF0954">
        <w:rPr>
          <w:rFonts w:ascii="Times New Roman" w:hAnsi="Times New Roman" w:cs="Times New Roman"/>
        </w:rPr>
        <w:t xml:space="preserve">Mangual </w:t>
      </w:r>
      <w:r>
        <w:rPr>
          <w:rFonts w:ascii="Times New Roman" w:hAnsi="Times New Roman" w:cs="Times New Roman"/>
        </w:rPr>
        <w:t>1</w:t>
      </w:r>
      <w:r w:rsidR="00EF0954">
        <w:rPr>
          <w:rFonts w:ascii="Times New Roman" w:hAnsi="Times New Roman" w:cs="Times New Roman"/>
        </w:rPr>
        <w:t>4</w:t>
      </w:r>
      <w:r>
        <w:rPr>
          <w:rFonts w:ascii="Times New Roman" w:hAnsi="Times New Roman" w:cs="Times New Roman"/>
        </w:rPr>
        <w:t>:45</w:t>
      </w:r>
      <w:r w:rsidR="00EF0954">
        <w:rPr>
          <w:rFonts w:ascii="Times New Roman" w:hAnsi="Times New Roman" w:cs="Times New Roman"/>
        </w:rPr>
        <w:t>–18:20</w:t>
      </w:r>
      <w:r>
        <w:rPr>
          <w:rFonts w:ascii="Times New Roman" w:hAnsi="Times New Roman" w:cs="Times New Roman"/>
        </w:rPr>
        <w:t>)</w:t>
      </w:r>
    </w:p>
    <w:p w14:paraId="728575FD" w14:textId="26D017FB" w:rsidR="00FD740D" w:rsidRPr="00EF0954" w:rsidRDefault="00EF0954" w:rsidP="00EF0954">
      <w:pPr>
        <w:spacing w:after="0" w:line="480" w:lineRule="auto"/>
        <w:rPr>
          <w:rFonts w:ascii="Times New Roman" w:hAnsi="Times New Roman" w:cs="Times New Roman"/>
        </w:rPr>
      </w:pPr>
      <w:r>
        <w:rPr>
          <w:rFonts w:ascii="Times New Roman" w:hAnsi="Times New Roman" w:cs="Times New Roman"/>
        </w:rPr>
        <w:lastRenderedPageBreak/>
        <w:t>Here, Mangual identifies many of the most important features of incarceration beyond confinement and deprivation of liberty: extreme s</w:t>
      </w:r>
      <w:r w:rsidR="00FD740D" w:rsidRPr="00EF0954">
        <w:rPr>
          <w:rFonts w:ascii="Times New Roman" w:hAnsi="Times New Roman" w:cs="Times New Roman"/>
        </w:rPr>
        <w:t>urveillance</w:t>
      </w:r>
      <w:r>
        <w:rPr>
          <w:rFonts w:ascii="Times New Roman" w:hAnsi="Times New Roman" w:cs="Times New Roman"/>
        </w:rPr>
        <w:t>, violently maintained hierarchies, physical discomfort, mental anguish, and social exclusion.</w:t>
      </w:r>
    </w:p>
    <w:p w14:paraId="32C029BA" w14:textId="292438FA" w:rsidR="00BE703D" w:rsidRPr="0043386A" w:rsidRDefault="0043386A" w:rsidP="00FD740D">
      <w:pPr>
        <w:pStyle w:val="ListParagraph"/>
        <w:spacing w:after="0" w:line="480" w:lineRule="auto"/>
        <w:ind w:left="0"/>
        <w:rPr>
          <w:rFonts w:ascii="Times New Roman" w:hAnsi="Times New Roman" w:cs="Times New Roman"/>
        </w:rPr>
      </w:pPr>
      <w:r w:rsidRPr="0043386A">
        <w:rPr>
          <w:rFonts w:ascii="Times New Roman" w:hAnsi="Times New Roman" w:cs="Times New Roman"/>
        </w:rPr>
        <w:tab/>
        <w:t xml:space="preserve">Scholars like Lisa </w:t>
      </w:r>
      <w:r>
        <w:rPr>
          <w:rFonts w:ascii="Times New Roman" w:hAnsi="Times New Roman" w:cs="Times New Roman"/>
        </w:rPr>
        <w:t>Marie Cacho and Dylan Rodriguez</w:t>
      </w:r>
      <w:r w:rsidR="00BE703D">
        <w:rPr>
          <w:rFonts w:ascii="Times New Roman" w:hAnsi="Times New Roman" w:cs="Times New Roman"/>
        </w:rPr>
        <w:t>, following Orlando Patterson, have characterized these features of incarceration as constituting a form of “social death.”</w:t>
      </w:r>
      <w:r w:rsidR="00BE703D">
        <w:rPr>
          <w:rStyle w:val="FootnoteReference"/>
          <w:rFonts w:ascii="Times New Roman" w:hAnsi="Times New Roman" w:cs="Times New Roman"/>
        </w:rPr>
        <w:footnoteReference w:id="16"/>
      </w:r>
      <w:r w:rsidR="00BE703D">
        <w:rPr>
          <w:rFonts w:ascii="Times New Roman" w:hAnsi="Times New Roman" w:cs="Times New Roman"/>
        </w:rPr>
        <w:t xml:space="preserve"> Patterson originally described the concept relative to the enslaved human’s loss of legal, social, and familial connections. Despite U.S. courts repeatedly holding that, despite the Thirteenth Amendment, prisoners are not “slaves of the state,” the social death that they experience is profound. Cacho extends this concept to include “racialized rightlessness” and marginalization for incarcerated people and other stigmatized groups (such as immigrants). Key features of social death include deprivation of the status of “person” and </w:t>
      </w:r>
      <w:r w:rsidR="00793192">
        <w:rPr>
          <w:rFonts w:ascii="Times New Roman" w:hAnsi="Times New Roman" w:cs="Times New Roman"/>
        </w:rPr>
        <w:t>of social support from community and kin.</w:t>
      </w:r>
    </w:p>
    <w:p w14:paraId="764F14A7" w14:textId="11E488D2" w:rsidR="00383292" w:rsidRDefault="00EF0954" w:rsidP="004713ED">
      <w:pPr>
        <w:pStyle w:val="ListParagraph"/>
        <w:spacing w:after="0" w:line="480" w:lineRule="auto"/>
        <w:ind w:left="0"/>
        <w:rPr>
          <w:rFonts w:ascii="Times New Roman" w:hAnsi="Times New Roman" w:cs="Times New Roman"/>
        </w:rPr>
      </w:pPr>
      <w:r>
        <w:rPr>
          <w:rFonts w:ascii="Times New Roman" w:hAnsi="Times New Roman" w:cs="Times New Roman"/>
          <w:b/>
          <w:bCs/>
        </w:rPr>
        <w:tab/>
      </w:r>
      <w:r w:rsidR="00FD740D">
        <w:rPr>
          <w:rFonts w:ascii="Times New Roman" w:hAnsi="Times New Roman" w:cs="Times New Roman"/>
        </w:rPr>
        <w:t>Experts note that around 95% of incarcerated humans in the United States will eventually be released back into society</w:t>
      </w:r>
      <w:r w:rsidR="009F648A">
        <w:rPr>
          <w:rFonts w:ascii="Times New Roman" w:hAnsi="Times New Roman" w:cs="Times New Roman"/>
        </w:rPr>
        <w:t xml:space="preserve">. </w:t>
      </w:r>
      <w:r w:rsidR="00C50C4E">
        <w:rPr>
          <w:rFonts w:ascii="Times New Roman" w:hAnsi="Times New Roman" w:cs="Times New Roman"/>
        </w:rPr>
        <w:t>Furthermore, within three years of release, two thirds of people will be rearrested (recidivate).</w:t>
      </w:r>
      <w:r w:rsidR="00C50C4E">
        <w:rPr>
          <w:rStyle w:val="FootnoteReference"/>
          <w:rFonts w:ascii="Times New Roman" w:hAnsi="Times New Roman" w:cs="Times New Roman"/>
        </w:rPr>
        <w:footnoteReference w:id="17"/>
      </w:r>
      <w:r w:rsidR="00C50C4E">
        <w:rPr>
          <w:rFonts w:ascii="Times New Roman" w:hAnsi="Times New Roman" w:cs="Times New Roman"/>
        </w:rPr>
        <w:t xml:space="preserve"> </w:t>
      </w:r>
      <w:r w:rsidR="009F648A">
        <w:rPr>
          <w:rFonts w:ascii="Times New Roman" w:hAnsi="Times New Roman" w:cs="Times New Roman"/>
        </w:rPr>
        <w:t xml:space="preserve">Unfortunately, the condition of social death </w:t>
      </w:r>
      <w:r w:rsidR="0000201D">
        <w:rPr>
          <w:rFonts w:ascii="Times New Roman" w:hAnsi="Times New Roman" w:cs="Times New Roman"/>
        </w:rPr>
        <w:t xml:space="preserve">often </w:t>
      </w:r>
      <w:r w:rsidR="009F648A">
        <w:rPr>
          <w:rFonts w:ascii="Times New Roman" w:hAnsi="Times New Roman" w:cs="Times New Roman"/>
        </w:rPr>
        <w:t>does</w:t>
      </w:r>
      <w:r w:rsidR="0000201D">
        <w:rPr>
          <w:rFonts w:ascii="Times New Roman" w:hAnsi="Times New Roman" w:cs="Times New Roman"/>
        </w:rPr>
        <w:t xml:space="preserve"> no</w:t>
      </w:r>
      <w:r w:rsidR="009F648A">
        <w:rPr>
          <w:rFonts w:ascii="Times New Roman" w:hAnsi="Times New Roman" w:cs="Times New Roman"/>
        </w:rPr>
        <w:t xml:space="preserve">t end with a person’s release from prison. </w:t>
      </w:r>
      <w:r w:rsidR="0000201D">
        <w:rPr>
          <w:rFonts w:ascii="Times New Roman" w:hAnsi="Times New Roman" w:cs="Times New Roman"/>
        </w:rPr>
        <w:t>Formerly incarcerated people face barriers to obtaining housing, employment, education, identification, transportation, public assistance, health care, and sobriety.</w:t>
      </w:r>
      <w:r w:rsidR="00513CAE">
        <w:rPr>
          <w:rFonts w:ascii="Times New Roman" w:hAnsi="Times New Roman" w:cs="Times New Roman"/>
        </w:rPr>
        <w:t xml:space="preserve"> In the state of Oregon, where I worked for several years with recently released men adjusting to life outside, 50% of people are homeless on day one post-incarceration.</w:t>
      </w:r>
      <w:r w:rsidR="004713ED">
        <w:rPr>
          <w:rFonts w:ascii="Times New Roman" w:hAnsi="Times New Roman" w:cs="Times New Roman"/>
        </w:rPr>
        <w:t xml:space="preserve"> In his interview, Mangual recounts being unhoused “four or five” times since his incarceration. As a </w:t>
      </w:r>
      <w:r w:rsidR="004713ED">
        <w:rPr>
          <w:rFonts w:ascii="Times New Roman" w:hAnsi="Times New Roman" w:cs="Times New Roman"/>
        </w:rPr>
        <w:lastRenderedPageBreak/>
        <w:t xml:space="preserve">condition of his parole, he had lined up transitional housing upon release, but he found himself turned away without even a referral because he </w:t>
      </w:r>
      <w:r w:rsidR="004713ED" w:rsidRPr="00513CAE">
        <w:rPr>
          <w:rFonts w:ascii="Times New Roman" w:hAnsi="Times New Roman" w:cs="Times New Roman"/>
          <w:i/>
          <w:iCs/>
        </w:rPr>
        <w:t>hadn’t</w:t>
      </w:r>
      <w:r w:rsidR="004713ED">
        <w:rPr>
          <w:rFonts w:ascii="Times New Roman" w:hAnsi="Times New Roman" w:cs="Times New Roman"/>
        </w:rPr>
        <w:t xml:space="preserve"> used drugs in over a decade.</w:t>
      </w:r>
    </w:p>
    <w:p w14:paraId="088ADADC" w14:textId="343FDE7D" w:rsidR="00FD740D" w:rsidRDefault="004713ED" w:rsidP="00383292">
      <w:pPr>
        <w:pStyle w:val="ListParagraph"/>
        <w:spacing w:after="0" w:line="480" w:lineRule="auto"/>
        <w:ind w:left="0" w:firstLine="720"/>
        <w:rPr>
          <w:rFonts w:ascii="Times New Roman" w:hAnsi="Times New Roman" w:cs="Times New Roman"/>
        </w:rPr>
      </w:pPr>
      <w:r>
        <w:rPr>
          <w:rFonts w:ascii="Times New Roman" w:hAnsi="Times New Roman" w:cs="Times New Roman"/>
        </w:rPr>
        <w:t xml:space="preserve">The formerly incarcerated are often excluded by institutions of higher education, and if they are admitted, then they often find themselves unable to access financial aid. They often lack transportation to meeting with their parole officer, to attend the court, or to submit to a drug test. They have difficulty managing chronic health conditions like HIV, high blood pressure, or diabetes, for which they received prescription medication while imprisoned. Finding health insurance, getting dental care, and keeping up with psychiatric medications all become massive hurdles. </w:t>
      </w:r>
      <w:r w:rsidR="00383292">
        <w:rPr>
          <w:rFonts w:ascii="Times New Roman" w:hAnsi="Times New Roman" w:cs="Times New Roman"/>
        </w:rPr>
        <w:t>Social death after incarceration is even more severe for people with convictions for many sexual offenses. Sex offender registries leave them vulnerable to violence, discrimination, and ostracization. Formerly incarcerated parents typically lose custody of their children and face barriers to having their rights restored. And, because transitional housing and other services often focus exclusively on men, formerly incarcerated women and trans people are more likely than men to end up on the street.</w:t>
      </w:r>
      <w:r w:rsidR="00D3750E">
        <w:rPr>
          <w:rStyle w:val="FootnoteReference"/>
          <w:rFonts w:ascii="Times New Roman" w:hAnsi="Times New Roman" w:cs="Times New Roman"/>
        </w:rPr>
        <w:footnoteReference w:id="18"/>
      </w:r>
    </w:p>
    <w:p w14:paraId="0428273C" w14:textId="6E3BF794" w:rsidR="002A3109" w:rsidRPr="00383292" w:rsidRDefault="002A3109" w:rsidP="00383292">
      <w:pPr>
        <w:pStyle w:val="ListParagraph"/>
        <w:spacing w:after="0" w:line="480" w:lineRule="auto"/>
        <w:ind w:left="0" w:firstLine="720"/>
        <w:rPr>
          <w:rFonts w:ascii="Times New Roman" w:hAnsi="Times New Roman" w:cs="Times New Roman"/>
          <w:b/>
          <w:bCs/>
        </w:rPr>
      </w:pPr>
      <w:r>
        <w:rPr>
          <w:rFonts w:ascii="Times New Roman" w:hAnsi="Times New Roman" w:cs="Times New Roman"/>
        </w:rPr>
        <w:t xml:space="preserve">Despite these many challenges, or perhaps because of them, empirical research has </w:t>
      </w:r>
      <w:r w:rsidR="002C5780">
        <w:rPr>
          <w:rFonts w:ascii="Times New Roman" w:hAnsi="Times New Roman" w:cs="Times New Roman"/>
        </w:rPr>
        <w:t>sought to determine</w:t>
      </w:r>
      <w:r>
        <w:rPr>
          <w:rFonts w:ascii="Times New Roman" w:hAnsi="Times New Roman" w:cs="Times New Roman"/>
        </w:rPr>
        <w:t xml:space="preserve"> what works in helping formerly incarcerated people avoid going back to prison. A massive 2012 study supported by the National Institutes of Justice found that programs offered before release that focused on addiction treatment, “cognitive-focused programs,” and education were </w:t>
      </w:r>
      <w:r w:rsidR="002C5780">
        <w:rPr>
          <w:rFonts w:ascii="Times New Roman" w:hAnsi="Times New Roman" w:cs="Times New Roman"/>
        </w:rPr>
        <w:t>moderately</w:t>
      </w:r>
      <w:r>
        <w:rPr>
          <w:rFonts w:ascii="Times New Roman" w:hAnsi="Times New Roman" w:cs="Times New Roman"/>
        </w:rPr>
        <w:t xml:space="preserve"> beneficial</w:t>
      </w:r>
      <w:r w:rsidR="002C5780">
        <w:rPr>
          <w:rFonts w:ascii="Times New Roman" w:hAnsi="Times New Roman" w:cs="Times New Roman"/>
        </w:rPr>
        <w:t xml:space="preserve">, while </w:t>
      </w:r>
      <w:r>
        <w:rPr>
          <w:rFonts w:ascii="Times New Roman" w:hAnsi="Times New Roman" w:cs="Times New Roman"/>
        </w:rPr>
        <w:t>programs like reentry preparation, life skills programs, and employment services were sometimes found to be counterproductive.</w:t>
      </w:r>
      <w:r>
        <w:rPr>
          <w:rStyle w:val="FootnoteReference"/>
          <w:rFonts w:ascii="Times New Roman" w:hAnsi="Times New Roman" w:cs="Times New Roman"/>
        </w:rPr>
        <w:footnoteReference w:id="19"/>
      </w:r>
      <w:r w:rsidR="002C5780">
        <w:rPr>
          <w:rFonts w:ascii="Times New Roman" w:hAnsi="Times New Roman" w:cs="Times New Roman"/>
        </w:rPr>
        <w:t xml:space="preserve"> Yet </w:t>
      </w:r>
      <w:r w:rsidR="002C5780">
        <w:rPr>
          <w:rFonts w:ascii="Times New Roman" w:hAnsi="Times New Roman" w:cs="Times New Roman"/>
        </w:rPr>
        <w:lastRenderedPageBreak/>
        <w:t>research has shown for decades that connections to family and participation in civic life are positively correlated with successful reentry. One recent study concluded, “Family support appears to relate to prosocial reentry outcomes not because of emotional or interactional bonds, but because families provide for the basic needs of returning individuals. Instrumental familial support mechanisms such as providing housing and financial support appear more salient in promotion prosocial reentry outcomes than [other mechanisms].”</w:t>
      </w:r>
      <w:r w:rsidR="002C5780">
        <w:rPr>
          <w:rStyle w:val="FootnoteReference"/>
          <w:rFonts w:ascii="Times New Roman" w:hAnsi="Times New Roman" w:cs="Times New Roman"/>
        </w:rPr>
        <w:footnoteReference w:id="20"/>
      </w:r>
      <w:r w:rsidR="00C50C4E">
        <w:rPr>
          <w:rFonts w:ascii="Times New Roman" w:hAnsi="Times New Roman" w:cs="Times New Roman"/>
        </w:rPr>
        <w:t xml:space="preserve"> Similarly, democratic participation (understood as </w:t>
      </w:r>
      <w:r w:rsidR="00387F6B">
        <w:rPr>
          <w:rFonts w:ascii="Times New Roman" w:hAnsi="Times New Roman" w:cs="Times New Roman"/>
        </w:rPr>
        <w:t>“</w:t>
      </w:r>
      <w:r w:rsidR="00C50C4E">
        <w:rPr>
          <w:rFonts w:ascii="Times New Roman" w:hAnsi="Times New Roman" w:cs="Times New Roman"/>
        </w:rPr>
        <w:t>civic literacy, democratic skill development, civi</w:t>
      </w:r>
      <w:r w:rsidR="00387F6B">
        <w:rPr>
          <w:rFonts w:ascii="Times New Roman" w:hAnsi="Times New Roman" w:cs="Times New Roman"/>
        </w:rPr>
        <w:t>c</w:t>
      </w:r>
      <w:r w:rsidR="00C50C4E">
        <w:rPr>
          <w:rFonts w:ascii="Times New Roman" w:hAnsi="Times New Roman" w:cs="Times New Roman"/>
        </w:rPr>
        <w:t xml:space="preserve"> attachment</w:t>
      </w:r>
      <w:r w:rsidR="00387F6B">
        <w:rPr>
          <w:rFonts w:ascii="Times New Roman" w:hAnsi="Times New Roman" w:cs="Times New Roman"/>
        </w:rPr>
        <w:t>, and political activism”) has been prosed as a way to encourage prosocial outcomes and to reduce the risk of rearrest.</w:t>
      </w:r>
      <w:r w:rsidR="00387F6B">
        <w:rPr>
          <w:rStyle w:val="FootnoteReference"/>
          <w:rFonts w:ascii="Times New Roman" w:hAnsi="Times New Roman" w:cs="Times New Roman"/>
        </w:rPr>
        <w:footnoteReference w:id="21"/>
      </w:r>
      <w:r w:rsidR="00387F6B">
        <w:rPr>
          <w:rFonts w:ascii="Times New Roman" w:hAnsi="Times New Roman" w:cs="Times New Roman"/>
        </w:rPr>
        <w:t xml:space="preserve"> One of the most prominent barriers to democratic participation for the formerly incarcerated </w:t>
      </w:r>
      <w:r w:rsidR="007535FC">
        <w:rPr>
          <w:rFonts w:ascii="Times New Roman" w:hAnsi="Times New Roman" w:cs="Times New Roman"/>
        </w:rPr>
        <w:t>that scholars have considered is the abridgment of voting rights.</w:t>
      </w:r>
      <w:r w:rsidR="00387F6B">
        <w:rPr>
          <w:rFonts w:ascii="Times New Roman" w:hAnsi="Times New Roman" w:cs="Times New Roman"/>
        </w:rPr>
        <w:t xml:space="preserve"> </w:t>
      </w:r>
    </w:p>
    <w:p w14:paraId="0471BB64" w14:textId="77777777" w:rsidR="00FD740D" w:rsidRDefault="00FD740D" w:rsidP="00FD740D">
      <w:pPr>
        <w:spacing w:after="0" w:line="480" w:lineRule="auto"/>
        <w:rPr>
          <w:rFonts w:ascii="Times New Roman" w:hAnsi="Times New Roman" w:cs="Times New Roman"/>
        </w:rPr>
      </w:pPr>
    </w:p>
    <w:p w14:paraId="7E6EFA3B" w14:textId="3E6D17A7" w:rsidR="00820DD1" w:rsidRPr="00FB3A32" w:rsidRDefault="00083267" w:rsidP="00497DA9">
      <w:pPr>
        <w:spacing w:after="0" w:line="480" w:lineRule="auto"/>
        <w:contextualSpacing/>
        <w:rPr>
          <w:rFonts w:ascii="Times New Roman" w:hAnsi="Times New Roman" w:cs="Times New Roman"/>
          <w:b/>
          <w:bCs/>
        </w:rPr>
      </w:pPr>
      <w:r>
        <w:rPr>
          <w:rFonts w:ascii="Times New Roman" w:hAnsi="Times New Roman" w:cs="Times New Roman"/>
          <w:b/>
          <w:bCs/>
        </w:rPr>
        <w:t xml:space="preserve">Establishing the Vote: </w:t>
      </w:r>
      <w:r w:rsidR="00051B47" w:rsidRPr="00FB3A32">
        <w:rPr>
          <w:rFonts w:ascii="Times New Roman" w:hAnsi="Times New Roman" w:cs="Times New Roman"/>
          <w:b/>
          <w:bCs/>
        </w:rPr>
        <w:t xml:space="preserve">Reshaping Democratic Participation in </w:t>
      </w:r>
      <w:r w:rsidR="00AD448D" w:rsidRPr="00FB3A32">
        <w:rPr>
          <w:rFonts w:ascii="Times New Roman" w:hAnsi="Times New Roman" w:cs="Times New Roman"/>
          <w:b/>
          <w:bCs/>
        </w:rPr>
        <w:t>the United States</w:t>
      </w:r>
    </w:p>
    <w:p w14:paraId="3D239A78" w14:textId="563ABE53" w:rsidR="00A43438" w:rsidRDefault="00051B47" w:rsidP="00FB3A32">
      <w:pPr>
        <w:spacing w:after="0" w:line="480" w:lineRule="auto"/>
        <w:contextualSpacing/>
        <w:jc w:val="both"/>
        <w:rPr>
          <w:rFonts w:ascii="Times New Roman" w:hAnsi="Times New Roman" w:cs="Times New Roman"/>
        </w:rPr>
      </w:pPr>
      <w:r w:rsidRPr="00497DA9">
        <w:rPr>
          <w:rFonts w:ascii="Times New Roman" w:hAnsi="Times New Roman" w:cs="Times New Roman"/>
        </w:rPr>
        <w:t>The United States</w:t>
      </w:r>
      <w:r w:rsidR="00820DD1" w:rsidRPr="00497DA9">
        <w:rPr>
          <w:rFonts w:ascii="Times New Roman" w:hAnsi="Times New Roman" w:cs="Times New Roman"/>
        </w:rPr>
        <w:t xml:space="preserve"> actively tends to restrict democratic participation</w:t>
      </w:r>
      <w:r w:rsidRPr="00497DA9">
        <w:rPr>
          <w:rFonts w:ascii="Times New Roman" w:hAnsi="Times New Roman" w:cs="Times New Roman"/>
        </w:rPr>
        <w:t xml:space="preserve"> for some even as it expands participation to new categories of people</w:t>
      </w:r>
      <w:r w:rsidR="00820DD1" w:rsidRPr="00497DA9">
        <w:rPr>
          <w:rFonts w:ascii="Times New Roman" w:hAnsi="Times New Roman" w:cs="Times New Roman"/>
        </w:rPr>
        <w:t>.</w:t>
      </w:r>
      <w:r w:rsidR="00AD448D">
        <w:rPr>
          <w:rStyle w:val="FootnoteReference"/>
          <w:rFonts w:ascii="Times New Roman" w:hAnsi="Times New Roman" w:cs="Times New Roman"/>
        </w:rPr>
        <w:footnoteReference w:id="22"/>
      </w:r>
      <w:r w:rsidR="00AD448D">
        <w:rPr>
          <w:rFonts w:ascii="Times New Roman" w:hAnsi="Times New Roman" w:cs="Times New Roman"/>
        </w:rPr>
        <w:t xml:space="preserve"> </w:t>
      </w:r>
      <w:r w:rsidR="00820DD1" w:rsidRPr="00497DA9">
        <w:rPr>
          <w:rFonts w:ascii="Times New Roman" w:hAnsi="Times New Roman" w:cs="Times New Roman"/>
        </w:rPr>
        <w:t xml:space="preserve">One, out of many, sources for this tendency </w:t>
      </w:r>
      <w:proofErr w:type="gramStart"/>
      <w:r w:rsidR="00820DD1" w:rsidRPr="00497DA9">
        <w:rPr>
          <w:rFonts w:ascii="Times New Roman" w:hAnsi="Times New Roman" w:cs="Times New Roman"/>
        </w:rPr>
        <w:t>is</w:t>
      </w:r>
      <w:proofErr w:type="gramEnd"/>
      <w:r w:rsidR="00820DD1" w:rsidRPr="00497DA9">
        <w:rPr>
          <w:rFonts w:ascii="Times New Roman" w:hAnsi="Times New Roman" w:cs="Times New Roman"/>
        </w:rPr>
        <w:t xml:space="preserve"> partisanship and the zero-sum nature of the U.S. political system. </w:t>
      </w:r>
      <w:r w:rsidRPr="00497DA9">
        <w:rPr>
          <w:rFonts w:ascii="Times New Roman" w:hAnsi="Times New Roman" w:cs="Times New Roman"/>
        </w:rPr>
        <w:t xml:space="preserve">If a party cannot attract more voters, it can seek to disenfranchise those who might vote otherwise, either directly through voting barriers and restrictions or indirectly through various forms of gerrymandering. However, it can be difficult to see this as a permanent feature of the country’s political system because </w:t>
      </w:r>
      <w:r w:rsidR="00497DA9" w:rsidRPr="00497DA9">
        <w:rPr>
          <w:rFonts w:ascii="Times New Roman" w:hAnsi="Times New Roman" w:cs="Times New Roman"/>
        </w:rPr>
        <w:t xml:space="preserve">the </w:t>
      </w:r>
      <w:r w:rsidR="00497DA9" w:rsidRPr="00497DA9">
        <w:rPr>
          <w:rFonts w:ascii="Times New Roman" w:hAnsi="Times New Roman" w:cs="Times New Roman"/>
        </w:rPr>
        <w:lastRenderedPageBreak/>
        <w:t>triumphal narrative of a continuously expanding electorate is so celebrated and central to public accounts of the nation’s history.</w:t>
      </w:r>
      <w:r w:rsidR="00AD448D">
        <w:rPr>
          <w:rFonts w:ascii="Times New Roman" w:hAnsi="Times New Roman" w:cs="Times New Roman"/>
        </w:rPr>
        <w:t xml:space="preserve"> </w:t>
      </w:r>
      <w:r w:rsidR="00820DD1" w:rsidRPr="00497DA9">
        <w:rPr>
          <w:rFonts w:ascii="Times New Roman" w:hAnsi="Times New Roman" w:cs="Times New Roman"/>
        </w:rPr>
        <w:t xml:space="preserve">Most recently, </w:t>
      </w:r>
      <w:r w:rsidR="00497DA9" w:rsidRPr="00497DA9">
        <w:rPr>
          <w:rFonts w:ascii="Times New Roman" w:hAnsi="Times New Roman" w:cs="Times New Roman"/>
        </w:rPr>
        <w:t>the expansion of voting rights</w:t>
      </w:r>
      <w:r w:rsidR="00820DD1" w:rsidRPr="00497DA9">
        <w:rPr>
          <w:rFonts w:ascii="Times New Roman" w:hAnsi="Times New Roman" w:cs="Times New Roman"/>
        </w:rPr>
        <w:t xml:space="preserve"> entailed the nation-wide enfranchisement of people aged 18 to 21 following passage and ratification of the Twenty-sixth Amendment in 1971. </w:t>
      </w:r>
      <w:r w:rsidR="00AD448D">
        <w:rPr>
          <w:rFonts w:ascii="Times New Roman" w:hAnsi="Times New Roman" w:cs="Times New Roman"/>
        </w:rPr>
        <w:t>Coincidentally, l</w:t>
      </w:r>
      <w:r w:rsidR="00820DD1" w:rsidRPr="00497DA9">
        <w:rPr>
          <w:rFonts w:ascii="Times New Roman" w:hAnsi="Times New Roman" w:cs="Times New Roman"/>
        </w:rPr>
        <w:t>ater that same year, Attica Prison in Upstate New York was rocked by what still stands as the deadliest prison revolt in U.S. history. By end of the five-day takeover of the prison and its retaking by state police, 43 humans had died and at least 91 were injured.</w:t>
      </w:r>
      <w:r w:rsidR="00AD448D">
        <w:rPr>
          <w:rStyle w:val="FootnoteReference"/>
          <w:rFonts w:ascii="Times New Roman" w:hAnsi="Times New Roman" w:cs="Times New Roman"/>
        </w:rPr>
        <w:footnoteReference w:id="23"/>
      </w:r>
      <w:r w:rsidR="00820DD1" w:rsidRPr="00497DA9">
        <w:rPr>
          <w:rFonts w:ascii="Times New Roman" w:hAnsi="Times New Roman" w:cs="Times New Roman"/>
        </w:rPr>
        <w:t xml:space="preserve"> </w:t>
      </w:r>
      <w:r w:rsidR="00AD448D">
        <w:rPr>
          <w:rFonts w:ascii="Times New Roman" w:hAnsi="Times New Roman" w:cs="Times New Roman"/>
        </w:rPr>
        <w:t xml:space="preserve">The violence of the Attica Uprising </w:t>
      </w:r>
      <w:r w:rsidR="001174E1">
        <w:rPr>
          <w:rFonts w:ascii="Times New Roman" w:hAnsi="Times New Roman" w:cs="Times New Roman"/>
        </w:rPr>
        <w:t>and other aspects of the broader movement in U.S. prisons that spanned from the late 1960s into the decade of the 1980s brought attention to the</w:t>
      </w:r>
      <w:r w:rsidR="00820DD1" w:rsidRPr="00497DA9">
        <w:rPr>
          <w:rFonts w:ascii="Times New Roman" w:hAnsi="Times New Roman" w:cs="Times New Roman"/>
        </w:rPr>
        <w:t xml:space="preserve"> </w:t>
      </w:r>
      <w:r w:rsidR="001174E1">
        <w:rPr>
          <w:rFonts w:ascii="Times New Roman" w:hAnsi="Times New Roman" w:cs="Times New Roman"/>
        </w:rPr>
        <w:t xml:space="preserve">use of incarceration to </w:t>
      </w:r>
      <w:r w:rsidR="00820DD1" w:rsidRPr="00497DA9">
        <w:rPr>
          <w:rFonts w:ascii="Times New Roman" w:hAnsi="Times New Roman" w:cs="Times New Roman"/>
        </w:rPr>
        <w:t>restrict participation in both the operation of the state and civil society by citizens deemed to have forfeited rights to such participation by virtue of criminal conviction.</w:t>
      </w:r>
      <w:r w:rsidR="00B634FC">
        <w:rPr>
          <w:rStyle w:val="FootnoteReference"/>
          <w:rFonts w:ascii="Times New Roman" w:hAnsi="Times New Roman" w:cs="Times New Roman"/>
        </w:rPr>
        <w:footnoteReference w:id="24"/>
      </w:r>
      <w:r w:rsidR="00A43438">
        <w:rPr>
          <w:rFonts w:ascii="Times New Roman" w:hAnsi="Times New Roman" w:cs="Times New Roman"/>
        </w:rPr>
        <w:t xml:space="preserve"> Rather than tracking expansion and contraction of the franchise in separate timelines, </w:t>
      </w:r>
      <w:r w:rsidR="00820DD1" w:rsidRPr="00A43438">
        <w:rPr>
          <w:rFonts w:ascii="Times New Roman" w:hAnsi="Times New Roman" w:cs="Times New Roman"/>
        </w:rPr>
        <w:t xml:space="preserve">I would like </w:t>
      </w:r>
      <w:r w:rsidR="00A43438">
        <w:rPr>
          <w:rFonts w:ascii="Times New Roman" w:hAnsi="Times New Roman" w:cs="Times New Roman"/>
        </w:rPr>
        <w:t xml:space="preserve">begin by </w:t>
      </w:r>
      <w:r w:rsidR="00820DD1" w:rsidRPr="00A43438">
        <w:rPr>
          <w:rFonts w:ascii="Times New Roman" w:hAnsi="Times New Roman" w:cs="Times New Roman"/>
        </w:rPr>
        <w:t>reflect</w:t>
      </w:r>
      <w:r w:rsidR="00A43438">
        <w:rPr>
          <w:rFonts w:ascii="Times New Roman" w:hAnsi="Times New Roman" w:cs="Times New Roman"/>
        </w:rPr>
        <w:t>ing</w:t>
      </w:r>
      <w:r w:rsidR="00820DD1" w:rsidRPr="00A43438">
        <w:rPr>
          <w:rFonts w:ascii="Times New Roman" w:hAnsi="Times New Roman" w:cs="Times New Roman"/>
        </w:rPr>
        <w:t xml:space="preserve"> on these two, opposite tendencies </w:t>
      </w:r>
      <w:r w:rsidR="00A43438">
        <w:rPr>
          <w:rFonts w:ascii="Times New Roman" w:hAnsi="Times New Roman" w:cs="Times New Roman"/>
        </w:rPr>
        <w:t>and how they have worked in tandem.</w:t>
      </w:r>
    </w:p>
    <w:p w14:paraId="4297139E" w14:textId="120021E4" w:rsidR="00F45A4F" w:rsidRDefault="00FF1D14" w:rsidP="00411AE9">
      <w:pPr>
        <w:spacing w:after="0" w:line="480" w:lineRule="auto"/>
        <w:ind w:firstLine="720"/>
        <w:contextualSpacing/>
        <w:jc w:val="both"/>
        <w:rPr>
          <w:rFonts w:ascii="Times New Roman" w:hAnsi="Times New Roman" w:cs="Times New Roman"/>
        </w:rPr>
      </w:pPr>
      <w:r w:rsidRPr="00497DA9">
        <w:rPr>
          <w:rFonts w:ascii="Times New Roman" w:hAnsi="Times New Roman" w:cs="Times New Roman"/>
        </w:rPr>
        <w:t>When the U.S. Constitution took effect in 1789</w:t>
      </w:r>
      <w:r w:rsidR="00820DD1" w:rsidRPr="00497DA9">
        <w:rPr>
          <w:rFonts w:ascii="Times New Roman" w:hAnsi="Times New Roman" w:cs="Times New Roman"/>
        </w:rPr>
        <w:t xml:space="preserve">, </w:t>
      </w:r>
      <w:r w:rsidRPr="00497DA9">
        <w:rPr>
          <w:rFonts w:ascii="Times New Roman" w:hAnsi="Times New Roman" w:cs="Times New Roman"/>
        </w:rPr>
        <w:t xml:space="preserve">it guaranteed </w:t>
      </w:r>
      <w:r w:rsidR="00A43438">
        <w:rPr>
          <w:rFonts w:ascii="Times New Roman" w:hAnsi="Times New Roman" w:cs="Times New Roman"/>
        </w:rPr>
        <w:t xml:space="preserve">men the right to vote if they were </w:t>
      </w:r>
      <w:r w:rsidR="00820DD1" w:rsidRPr="00497DA9">
        <w:rPr>
          <w:rFonts w:ascii="Times New Roman" w:hAnsi="Times New Roman" w:cs="Times New Roman"/>
        </w:rPr>
        <w:t xml:space="preserve">free, </w:t>
      </w:r>
      <w:r w:rsidR="00A43438">
        <w:rPr>
          <w:rFonts w:ascii="Times New Roman" w:hAnsi="Times New Roman" w:cs="Times New Roman"/>
        </w:rPr>
        <w:t xml:space="preserve">owned </w:t>
      </w:r>
      <w:r w:rsidR="00820DD1" w:rsidRPr="00497DA9">
        <w:rPr>
          <w:rFonts w:ascii="Times New Roman" w:hAnsi="Times New Roman" w:cs="Times New Roman"/>
        </w:rPr>
        <w:t>property</w:t>
      </w:r>
      <w:r w:rsidRPr="00497DA9">
        <w:rPr>
          <w:rFonts w:ascii="Times New Roman" w:hAnsi="Times New Roman" w:cs="Times New Roman"/>
        </w:rPr>
        <w:t>,</w:t>
      </w:r>
      <w:r w:rsidR="00820DD1" w:rsidRPr="00497DA9">
        <w:rPr>
          <w:rFonts w:ascii="Times New Roman" w:hAnsi="Times New Roman" w:cs="Times New Roman"/>
        </w:rPr>
        <w:t xml:space="preserve"> </w:t>
      </w:r>
      <w:r w:rsidR="00A43438">
        <w:rPr>
          <w:rFonts w:ascii="Times New Roman" w:hAnsi="Times New Roman" w:cs="Times New Roman"/>
        </w:rPr>
        <w:t xml:space="preserve">and could claim to be racially </w:t>
      </w:r>
      <w:r w:rsidRPr="00497DA9">
        <w:rPr>
          <w:rFonts w:ascii="Times New Roman" w:hAnsi="Times New Roman" w:cs="Times New Roman"/>
        </w:rPr>
        <w:t xml:space="preserve">white. </w:t>
      </w:r>
      <w:r w:rsidR="00202470" w:rsidRPr="00497DA9">
        <w:rPr>
          <w:rFonts w:ascii="Times New Roman" w:hAnsi="Times New Roman" w:cs="Times New Roman"/>
        </w:rPr>
        <w:t xml:space="preserve">Since U.S. elections are run at the state level, </w:t>
      </w:r>
      <w:r w:rsidR="00B8535A">
        <w:rPr>
          <w:rFonts w:ascii="Times New Roman" w:hAnsi="Times New Roman" w:cs="Times New Roman"/>
        </w:rPr>
        <w:t xml:space="preserve">however, </w:t>
      </w:r>
      <w:r w:rsidR="00202470" w:rsidRPr="00497DA9">
        <w:rPr>
          <w:rFonts w:ascii="Times New Roman" w:hAnsi="Times New Roman" w:cs="Times New Roman"/>
        </w:rPr>
        <w:t>states were able to extend the right to vote beyond the Constitutional bounds. Notably, in New Jersey not only were free, property-owning men of color allowed to vote, but women were as well.</w:t>
      </w:r>
      <w:r w:rsidR="00A43438">
        <w:rPr>
          <w:rFonts w:ascii="Times New Roman" w:hAnsi="Times New Roman" w:cs="Times New Roman"/>
        </w:rPr>
        <w:t xml:space="preserve"> Indeed, at least one free Black woman likely voted in New Jersey before 1807.</w:t>
      </w:r>
      <w:r w:rsidR="00AC022A">
        <w:rPr>
          <w:rFonts w:ascii="Times New Roman" w:hAnsi="Times New Roman" w:cs="Times New Roman"/>
        </w:rPr>
        <w:t xml:space="preserve"> </w:t>
      </w:r>
      <w:r w:rsidR="00202470" w:rsidRPr="00AC022A">
        <w:rPr>
          <w:rFonts w:ascii="Times New Roman" w:hAnsi="Times New Roman" w:cs="Times New Roman"/>
        </w:rPr>
        <w:t xml:space="preserve">When Vermont was admitted to the union in 1791, it allowed all men—without regard to </w:t>
      </w:r>
      <w:r w:rsidR="00202470" w:rsidRPr="00AC022A">
        <w:rPr>
          <w:rFonts w:ascii="Times New Roman" w:hAnsi="Times New Roman" w:cs="Times New Roman"/>
        </w:rPr>
        <w:lastRenderedPageBreak/>
        <w:t>race or property—the right to vote</w:t>
      </w:r>
      <w:r w:rsidR="00216144">
        <w:rPr>
          <w:rFonts w:ascii="Times New Roman" w:hAnsi="Times New Roman" w:cs="Times New Roman"/>
        </w:rPr>
        <w:t>, as</w:t>
      </w:r>
      <w:r w:rsidR="00202470" w:rsidRPr="00AC022A">
        <w:rPr>
          <w:rFonts w:ascii="Times New Roman" w:hAnsi="Times New Roman" w:cs="Times New Roman"/>
        </w:rPr>
        <w:t xml:space="preserve"> did Kentucky the following year.</w:t>
      </w:r>
      <w:r w:rsidR="00216144">
        <w:rPr>
          <w:rStyle w:val="FootnoteReference"/>
          <w:rFonts w:ascii="Times New Roman" w:hAnsi="Times New Roman" w:cs="Times New Roman"/>
        </w:rPr>
        <w:footnoteReference w:id="25"/>
      </w:r>
      <w:r w:rsidR="00202470" w:rsidRPr="00AC022A">
        <w:rPr>
          <w:rFonts w:ascii="Times New Roman" w:hAnsi="Times New Roman" w:cs="Times New Roman"/>
        </w:rPr>
        <w:t xml:space="preserve"> </w:t>
      </w:r>
      <w:r w:rsidR="00B8535A">
        <w:rPr>
          <w:rFonts w:ascii="Times New Roman" w:hAnsi="Times New Roman" w:cs="Times New Roman"/>
        </w:rPr>
        <w:t>Engerman and Sokoloff have demonstrated that</w:t>
      </w:r>
    </w:p>
    <w:p w14:paraId="47B1B258" w14:textId="15016055" w:rsidR="00202470" w:rsidRDefault="00B8535A" w:rsidP="00411AE9">
      <w:pPr>
        <w:spacing w:after="0" w:line="480" w:lineRule="auto"/>
        <w:ind w:left="720" w:right="720"/>
        <w:contextualSpacing/>
        <w:jc w:val="both"/>
        <w:rPr>
          <w:rFonts w:ascii="Times New Roman" w:hAnsi="Times New Roman" w:cs="Times New Roman"/>
        </w:rPr>
      </w:pPr>
      <w:r>
        <w:rPr>
          <w:rFonts w:ascii="Times New Roman" w:hAnsi="Times New Roman" w:cs="Times New Roman"/>
        </w:rPr>
        <w:t>White men might come to believe that differentiation on the basis of wealth was unfair, unreasonable, or inconsistent with basic rights . . . [b]</w:t>
      </w:r>
      <w:proofErr w:type="spellStart"/>
      <w:r>
        <w:rPr>
          <w:rFonts w:ascii="Times New Roman" w:hAnsi="Times New Roman" w:cs="Times New Roman"/>
        </w:rPr>
        <w:t>ut</w:t>
      </w:r>
      <w:proofErr w:type="spellEnd"/>
      <w:r>
        <w:rPr>
          <w:rFonts w:ascii="Times New Roman" w:hAnsi="Times New Roman" w:cs="Times New Roman"/>
        </w:rPr>
        <w:t xml:space="preserve"> they remained comfortable supporting the exclusion of groups that were, in their view, obviously distinctive and unsuitable for participating in community decisions: blacks, women, children, Native Americans, the mentally incompetent</w:t>
      </w:r>
      <w:r w:rsidR="00F45A4F">
        <w:rPr>
          <w:rFonts w:ascii="Times New Roman" w:hAnsi="Times New Roman" w:cs="Times New Roman"/>
        </w:rPr>
        <w:t>, those with criminal records, and those (immigrants as well as native born) who had not long been resident in the county or state. When there were wealth-based restrictions, there had been no real need for provisions that dealt specifically with these classes, but as states eliminated or weakened the economic-based qualifications, there was increasing emphasis on introducing or tightening qualifications that would keep undesirable groups out of the electorate. At the same time that Delaware, Maryland, Connecticut, New Jersey, and Pennsylvania eased their economic qualifications, each altered its constitution to exclude blacks.</w:t>
      </w:r>
      <w:r w:rsidR="00216144">
        <w:rPr>
          <w:rStyle w:val="FootnoteReference"/>
          <w:rFonts w:ascii="Times New Roman" w:hAnsi="Times New Roman" w:cs="Times New Roman"/>
        </w:rPr>
        <w:footnoteReference w:id="26"/>
      </w:r>
    </w:p>
    <w:p w14:paraId="19AE4F78" w14:textId="77777777" w:rsidR="00EC717B" w:rsidRDefault="00411AE9" w:rsidP="00411AE9">
      <w:pPr>
        <w:spacing w:after="0" w:line="480" w:lineRule="auto"/>
        <w:contextualSpacing/>
        <w:jc w:val="both"/>
        <w:rPr>
          <w:rFonts w:ascii="Times New Roman" w:hAnsi="Times New Roman" w:cs="Times New Roman"/>
        </w:rPr>
      </w:pPr>
      <w:r>
        <w:rPr>
          <w:rFonts w:ascii="Times New Roman" w:hAnsi="Times New Roman" w:cs="Times New Roman"/>
        </w:rPr>
        <w:t>The mechanism for this transformation of the electorate—expanding to include some while contracting to exclude others—typically took the form of “a package of reforms” that would be “adopted altogether.” Thus, restrictions pertaining to race, length of residence, and sound mental capacity would be added at the same time that “economic-based qualifications” were removed:</w:t>
      </w:r>
    </w:p>
    <w:p w14:paraId="5D535E19" w14:textId="09A370F3" w:rsidR="00411AE9" w:rsidRDefault="00411AE9" w:rsidP="00EC717B">
      <w:pPr>
        <w:spacing w:after="0" w:line="480" w:lineRule="auto"/>
        <w:ind w:left="720" w:right="720"/>
        <w:contextualSpacing/>
        <w:jc w:val="both"/>
        <w:rPr>
          <w:rFonts w:ascii="Times New Roman" w:hAnsi="Times New Roman" w:cs="Times New Roman"/>
        </w:rPr>
      </w:pPr>
      <w:r>
        <w:rPr>
          <w:rFonts w:ascii="Times New Roman" w:hAnsi="Times New Roman" w:cs="Times New Roman"/>
        </w:rPr>
        <w:t xml:space="preserve">It is notable that despite virtually all of the new states beyond the original 13 entering the union with weak or no economic-based requirements for the franchise, </w:t>
      </w:r>
      <w:r>
        <w:rPr>
          <w:rFonts w:ascii="Times New Roman" w:hAnsi="Times New Roman" w:cs="Times New Roman"/>
        </w:rPr>
        <w:lastRenderedPageBreak/>
        <w:t xml:space="preserve">Kentucky . . . and Vermont were the only ones that allowed blacks to vote. The list of those that never allowed blacks to vote before the Fourteenth Amendment include </w:t>
      </w:r>
      <w:r w:rsidR="00EC717B">
        <w:rPr>
          <w:rFonts w:ascii="Times New Roman" w:hAnsi="Times New Roman" w:cs="Times New Roman"/>
        </w:rPr>
        <w:t>California, Colorado, Illinois, Indiana, Iowa, Kansas, Michigan, Minnesota, Missouri, Nebraska, Nevada, Ohio, Oregon, Utah, Wisconsin, as well as all of the southern states.</w:t>
      </w:r>
      <w:r w:rsidR="00EC717B">
        <w:rPr>
          <w:rStyle w:val="FootnoteReference"/>
          <w:rFonts w:ascii="Times New Roman" w:hAnsi="Times New Roman" w:cs="Times New Roman"/>
        </w:rPr>
        <w:footnoteReference w:id="27"/>
      </w:r>
    </w:p>
    <w:p w14:paraId="5601627B" w14:textId="48042D7C" w:rsidR="00E054B5" w:rsidRDefault="00EC717B" w:rsidP="00E054B5">
      <w:pPr>
        <w:spacing w:after="0" w:line="480" w:lineRule="auto"/>
        <w:rPr>
          <w:rFonts w:ascii="Times New Roman" w:hAnsi="Times New Roman" w:cs="Times New Roman"/>
        </w:rPr>
      </w:pPr>
      <w:r>
        <w:rPr>
          <w:rFonts w:ascii="Times New Roman" w:hAnsi="Times New Roman" w:cs="Times New Roman"/>
        </w:rPr>
        <w:t>In the former colonies that had initially permitted property-owning free Black men the right to vote, that right began to be chipped away at in the early nineteenth century.</w:t>
      </w:r>
      <w:r w:rsidR="00E674F6">
        <w:rPr>
          <w:rFonts w:ascii="Times New Roman" w:hAnsi="Times New Roman" w:cs="Times New Roman"/>
        </w:rPr>
        <w:t xml:space="preserve"> Whereas </w:t>
      </w:r>
      <w:r w:rsidR="00FB3A32">
        <w:rPr>
          <w:rFonts w:ascii="Times New Roman" w:hAnsi="Times New Roman" w:cs="Times New Roman"/>
        </w:rPr>
        <w:t>free African Americans were not explicitly barred from voting in ten of the thirteen original states (excepting Georgia, South Carolina, and Virginia),</w:t>
      </w:r>
      <w:r w:rsidR="00E674F6">
        <w:rPr>
          <w:rStyle w:val="FootnoteReference"/>
          <w:rFonts w:ascii="Times New Roman" w:hAnsi="Times New Roman" w:cs="Times New Roman"/>
        </w:rPr>
        <w:footnoteReference w:id="28"/>
      </w:r>
      <w:r>
        <w:rPr>
          <w:rFonts w:ascii="Times New Roman" w:hAnsi="Times New Roman" w:cs="Times New Roman"/>
        </w:rPr>
        <w:t xml:space="preserve"> </w:t>
      </w:r>
      <w:r w:rsidR="00FB3A32">
        <w:rPr>
          <w:rFonts w:ascii="Times New Roman" w:hAnsi="Times New Roman" w:cs="Times New Roman"/>
        </w:rPr>
        <w:t>b</w:t>
      </w:r>
      <w:r w:rsidR="00202470" w:rsidRPr="00EC717B">
        <w:rPr>
          <w:rFonts w:ascii="Times New Roman" w:hAnsi="Times New Roman" w:cs="Times New Roman"/>
        </w:rPr>
        <w:t xml:space="preserve">y 1807, New Jersey, Delaware, </w:t>
      </w:r>
      <w:r w:rsidR="00FB3A32">
        <w:rPr>
          <w:rFonts w:ascii="Times New Roman" w:hAnsi="Times New Roman" w:cs="Times New Roman"/>
        </w:rPr>
        <w:t xml:space="preserve">and </w:t>
      </w:r>
      <w:r w:rsidR="00202470" w:rsidRPr="00EC717B">
        <w:rPr>
          <w:rFonts w:ascii="Times New Roman" w:hAnsi="Times New Roman" w:cs="Times New Roman"/>
        </w:rPr>
        <w:t xml:space="preserve">Maryland </w:t>
      </w:r>
      <w:r w:rsidR="00FB3A32">
        <w:rPr>
          <w:rFonts w:ascii="Times New Roman" w:hAnsi="Times New Roman" w:cs="Times New Roman"/>
        </w:rPr>
        <w:t>had all barred free Blacks from voting</w:t>
      </w:r>
      <w:r w:rsidR="00202470" w:rsidRPr="00EC717B">
        <w:rPr>
          <w:rFonts w:ascii="Times New Roman" w:hAnsi="Times New Roman" w:cs="Times New Roman"/>
        </w:rPr>
        <w:t>.</w:t>
      </w:r>
      <w:r w:rsidR="00C15EAB" w:rsidRPr="00EC717B">
        <w:rPr>
          <w:rFonts w:ascii="Times New Roman" w:hAnsi="Times New Roman" w:cs="Times New Roman"/>
        </w:rPr>
        <w:t xml:space="preserve"> Pennsylvania </w:t>
      </w:r>
      <w:r>
        <w:rPr>
          <w:rFonts w:ascii="Times New Roman" w:hAnsi="Times New Roman" w:cs="Times New Roman"/>
        </w:rPr>
        <w:t>disenfranchised</w:t>
      </w:r>
      <w:r w:rsidR="00C15EAB" w:rsidRPr="00EC717B">
        <w:rPr>
          <w:rFonts w:ascii="Times New Roman" w:hAnsi="Times New Roman" w:cs="Times New Roman"/>
        </w:rPr>
        <w:t xml:space="preserve"> free Black men </w:t>
      </w:r>
      <w:r>
        <w:rPr>
          <w:rFonts w:ascii="Times New Roman" w:hAnsi="Times New Roman" w:cs="Times New Roman"/>
        </w:rPr>
        <w:t>beginning</w:t>
      </w:r>
      <w:r w:rsidR="00C15EAB" w:rsidRPr="00EC717B">
        <w:rPr>
          <w:rFonts w:ascii="Times New Roman" w:hAnsi="Times New Roman" w:cs="Times New Roman"/>
        </w:rPr>
        <w:t xml:space="preserve"> in 1837.</w:t>
      </w:r>
    </w:p>
    <w:p w14:paraId="5F844B18" w14:textId="4A8B2E92" w:rsidR="00F32A46" w:rsidRPr="00FB3A32" w:rsidRDefault="006770FF" w:rsidP="00FB3A32">
      <w:pPr>
        <w:spacing w:after="0" w:line="480" w:lineRule="auto"/>
        <w:ind w:firstLine="720"/>
        <w:rPr>
          <w:rFonts w:ascii="Times New Roman" w:hAnsi="Times New Roman" w:cs="Times New Roman"/>
        </w:rPr>
      </w:pPr>
      <w:r w:rsidRPr="00E054B5">
        <w:rPr>
          <w:rFonts w:ascii="Times New Roman" w:hAnsi="Times New Roman" w:cs="Times New Roman"/>
        </w:rPr>
        <w:t>In the wake of the Civil War</w:t>
      </w:r>
      <w:r w:rsidR="00263481" w:rsidRPr="00E054B5">
        <w:rPr>
          <w:rFonts w:ascii="Times New Roman" w:hAnsi="Times New Roman" w:cs="Times New Roman"/>
        </w:rPr>
        <w:t>, free Black men gained the right to vote in Wisconsin and the District of Columbia before the Fourteenth Amendment barred the abridgement of privileges of citizenship (including the right to vote)</w:t>
      </w:r>
      <w:r w:rsidR="00C15EAB" w:rsidRPr="00E054B5">
        <w:rPr>
          <w:rFonts w:ascii="Times New Roman" w:hAnsi="Times New Roman" w:cs="Times New Roman"/>
        </w:rPr>
        <w:t xml:space="preserve"> in 1868</w:t>
      </w:r>
      <w:r w:rsidR="00263481" w:rsidRPr="00E054B5">
        <w:rPr>
          <w:rFonts w:ascii="Times New Roman" w:hAnsi="Times New Roman" w:cs="Times New Roman"/>
        </w:rPr>
        <w:t xml:space="preserve">. Rather than </w:t>
      </w:r>
      <w:r w:rsidR="00E01350" w:rsidRPr="00E054B5">
        <w:rPr>
          <w:rFonts w:ascii="Times New Roman" w:hAnsi="Times New Roman" w:cs="Times New Roman"/>
        </w:rPr>
        <w:t xml:space="preserve">directly </w:t>
      </w:r>
      <w:r w:rsidR="00263481" w:rsidRPr="00E054B5">
        <w:rPr>
          <w:rFonts w:ascii="Times New Roman" w:hAnsi="Times New Roman" w:cs="Times New Roman"/>
        </w:rPr>
        <w:t xml:space="preserve">extending the right to vote, </w:t>
      </w:r>
      <w:r w:rsidR="00E01350" w:rsidRPr="00E054B5">
        <w:rPr>
          <w:rFonts w:ascii="Times New Roman" w:hAnsi="Times New Roman" w:cs="Times New Roman"/>
        </w:rPr>
        <w:t xml:space="preserve">the </w:t>
      </w:r>
      <w:r w:rsidR="00FB3A32">
        <w:rPr>
          <w:rFonts w:ascii="Times New Roman" w:hAnsi="Times New Roman" w:cs="Times New Roman"/>
        </w:rPr>
        <w:t xml:space="preserve">Fourteenth </w:t>
      </w:r>
      <w:r w:rsidR="00E01350" w:rsidRPr="00E054B5">
        <w:rPr>
          <w:rFonts w:ascii="Times New Roman" w:hAnsi="Times New Roman" w:cs="Times New Roman"/>
        </w:rPr>
        <w:t xml:space="preserve">Amendment provides that states which </w:t>
      </w:r>
      <w:r w:rsidR="00E01350" w:rsidRPr="00E054B5">
        <w:rPr>
          <w:rFonts w:ascii="Times New Roman" w:hAnsi="Times New Roman" w:cs="Times New Roman"/>
          <w:i/>
          <w:iCs/>
        </w:rPr>
        <w:t>restrict</w:t>
      </w:r>
      <w:r w:rsidR="00E01350" w:rsidRPr="00E054B5">
        <w:rPr>
          <w:rFonts w:ascii="Times New Roman" w:hAnsi="Times New Roman" w:cs="Times New Roman"/>
        </w:rPr>
        <w:t xml:space="preserve"> the right of male citizens to vote should have their presentation in Congress proportionately reduced. The Amendment provides one important exception: States may deny voting rights to such men without penalty “for participation in rebellion, or other crime.”</w:t>
      </w:r>
      <w:r w:rsidR="00F236D9" w:rsidRPr="00E054B5">
        <w:rPr>
          <w:rFonts w:ascii="Times New Roman" w:hAnsi="Times New Roman" w:cs="Times New Roman"/>
        </w:rPr>
        <w:t xml:space="preserve"> The Fourteenth Amendment, while ostensibly guaranteeing more citizens the right to vote </w:t>
      </w:r>
      <w:r w:rsidR="00FB3A32">
        <w:rPr>
          <w:rFonts w:ascii="Times New Roman" w:hAnsi="Times New Roman" w:cs="Times New Roman"/>
        </w:rPr>
        <w:t xml:space="preserve">simultaneously </w:t>
      </w:r>
      <w:r w:rsidR="00F236D9" w:rsidRPr="00E054B5">
        <w:rPr>
          <w:rFonts w:ascii="Times New Roman" w:hAnsi="Times New Roman" w:cs="Times New Roman"/>
        </w:rPr>
        <w:t>set</w:t>
      </w:r>
      <w:r w:rsidR="00FB3A32">
        <w:rPr>
          <w:rFonts w:ascii="Times New Roman" w:hAnsi="Times New Roman" w:cs="Times New Roman"/>
        </w:rPr>
        <w:t>s</w:t>
      </w:r>
      <w:r w:rsidR="00F236D9" w:rsidRPr="00E054B5">
        <w:rPr>
          <w:rFonts w:ascii="Times New Roman" w:hAnsi="Times New Roman" w:cs="Times New Roman"/>
        </w:rPr>
        <w:t xml:space="preserve"> the conditions according to which </w:t>
      </w:r>
      <w:r w:rsidR="00C15EAB" w:rsidRPr="00E054B5">
        <w:rPr>
          <w:rFonts w:ascii="Times New Roman" w:hAnsi="Times New Roman" w:cs="Times New Roman"/>
        </w:rPr>
        <w:t xml:space="preserve">access to the ballot could be effectively repealed on a </w:t>
      </w:r>
      <w:r w:rsidR="00FB3A32">
        <w:rPr>
          <w:rFonts w:ascii="Times New Roman" w:hAnsi="Times New Roman" w:cs="Times New Roman"/>
        </w:rPr>
        <w:t>large</w:t>
      </w:r>
      <w:r w:rsidR="00C15EAB" w:rsidRPr="00E054B5">
        <w:rPr>
          <w:rFonts w:ascii="Times New Roman" w:hAnsi="Times New Roman" w:cs="Times New Roman"/>
        </w:rPr>
        <w:t xml:space="preserve"> scale.</w:t>
      </w:r>
      <w:r w:rsidR="00FB3A32">
        <w:rPr>
          <w:rFonts w:ascii="Times New Roman" w:hAnsi="Times New Roman" w:cs="Times New Roman"/>
        </w:rPr>
        <w:t xml:space="preserve"> </w:t>
      </w:r>
      <w:r w:rsidR="00C15EAB" w:rsidRPr="00FB3A32">
        <w:rPr>
          <w:rFonts w:ascii="Times New Roman" w:hAnsi="Times New Roman" w:cs="Times New Roman"/>
        </w:rPr>
        <w:t>The Fifteenth Amendment</w:t>
      </w:r>
      <w:r w:rsidR="00FB3A32">
        <w:rPr>
          <w:rFonts w:ascii="Times New Roman" w:hAnsi="Times New Roman" w:cs="Times New Roman"/>
        </w:rPr>
        <w:t>, passed shortly afterwards,</w:t>
      </w:r>
      <w:r w:rsidR="00C15EAB" w:rsidRPr="00FB3A32">
        <w:rPr>
          <w:rFonts w:ascii="Times New Roman" w:hAnsi="Times New Roman" w:cs="Times New Roman"/>
        </w:rPr>
        <w:t xml:space="preserve"> is the Reconstruction Amendment most often associated with voting rights. It explicitly prevents states from restricting the franchise due to “race, color, or previous condition of servitude.”</w:t>
      </w:r>
      <w:r w:rsidR="00754E0C" w:rsidRPr="00FB3A32">
        <w:rPr>
          <w:rFonts w:ascii="Times New Roman" w:hAnsi="Times New Roman" w:cs="Times New Roman"/>
        </w:rPr>
        <w:t xml:space="preserve"> It was carefully written to prevent certain kinds of </w:t>
      </w:r>
      <w:r w:rsidR="00754E0C" w:rsidRPr="00FB3A32">
        <w:rPr>
          <w:rFonts w:ascii="Times New Roman" w:hAnsi="Times New Roman" w:cs="Times New Roman"/>
        </w:rPr>
        <w:lastRenderedPageBreak/>
        <w:t>discrimination</w:t>
      </w:r>
      <w:r w:rsidR="00FB3A32">
        <w:rPr>
          <w:rFonts w:ascii="Times New Roman" w:hAnsi="Times New Roman" w:cs="Times New Roman"/>
        </w:rPr>
        <w:t>, however,</w:t>
      </w:r>
      <w:r w:rsidR="00754E0C" w:rsidRPr="00FB3A32">
        <w:rPr>
          <w:rFonts w:ascii="Times New Roman" w:hAnsi="Times New Roman" w:cs="Times New Roman"/>
        </w:rPr>
        <w:t xml:space="preserve"> rather than </w:t>
      </w:r>
      <w:r w:rsidR="00FB3A32">
        <w:rPr>
          <w:rFonts w:ascii="Times New Roman" w:hAnsi="Times New Roman" w:cs="Times New Roman"/>
        </w:rPr>
        <w:t>to affirm</w:t>
      </w:r>
      <w:r w:rsidR="00754E0C" w:rsidRPr="00FB3A32">
        <w:rPr>
          <w:rFonts w:ascii="Times New Roman" w:hAnsi="Times New Roman" w:cs="Times New Roman"/>
        </w:rPr>
        <w:t xml:space="preserve"> universal suffrage. Thus, once again, voting restrictions did not simply expand but were reshaped. Most notably, the racial restrictions on voting by free Black men transformed into other constitutional restrictions </w:t>
      </w:r>
      <w:r w:rsidR="00FB3A32">
        <w:rPr>
          <w:rFonts w:ascii="Times New Roman" w:hAnsi="Times New Roman" w:cs="Times New Roman"/>
        </w:rPr>
        <w:t xml:space="preserve">such as </w:t>
      </w:r>
      <w:r w:rsidR="00754E0C" w:rsidRPr="00FB3A32">
        <w:rPr>
          <w:rFonts w:ascii="Times New Roman" w:hAnsi="Times New Roman" w:cs="Times New Roman"/>
        </w:rPr>
        <w:t xml:space="preserve">poll taxes, literacy and civics exams, and grandfather clauses. While racially neutral on their face, they were, as history tells us, nearly universally enforced so as to disenfranchise nonwhites—even as </w:t>
      </w:r>
      <w:r w:rsidR="00FB3A32">
        <w:rPr>
          <w:rFonts w:ascii="Times New Roman" w:hAnsi="Times New Roman" w:cs="Times New Roman"/>
        </w:rPr>
        <w:t xml:space="preserve">the franchise was extended to </w:t>
      </w:r>
      <w:r w:rsidR="00754E0C" w:rsidRPr="00FB3A32">
        <w:rPr>
          <w:rFonts w:ascii="Times New Roman" w:hAnsi="Times New Roman" w:cs="Times New Roman"/>
        </w:rPr>
        <w:t xml:space="preserve">women </w:t>
      </w:r>
      <w:r w:rsidR="00FB3A32">
        <w:rPr>
          <w:rFonts w:ascii="Times New Roman" w:hAnsi="Times New Roman" w:cs="Times New Roman"/>
        </w:rPr>
        <w:t xml:space="preserve">in </w:t>
      </w:r>
      <w:r w:rsidR="00754E0C" w:rsidRPr="00FB3A32">
        <w:rPr>
          <w:rFonts w:ascii="Times New Roman" w:hAnsi="Times New Roman" w:cs="Times New Roman"/>
        </w:rPr>
        <w:t>by the 19</w:t>
      </w:r>
      <w:r w:rsidR="00754E0C" w:rsidRPr="00FB3A32">
        <w:rPr>
          <w:rFonts w:ascii="Times New Roman" w:hAnsi="Times New Roman" w:cs="Times New Roman"/>
          <w:vertAlign w:val="superscript"/>
        </w:rPr>
        <w:t>th</w:t>
      </w:r>
      <w:r w:rsidR="00754E0C" w:rsidRPr="00FB3A32">
        <w:rPr>
          <w:rFonts w:ascii="Times New Roman" w:hAnsi="Times New Roman" w:cs="Times New Roman"/>
        </w:rPr>
        <w:t xml:space="preserve"> Amendment in 1920.</w:t>
      </w:r>
    </w:p>
    <w:p w14:paraId="34451C4D" w14:textId="77777777" w:rsidR="00FB3A32" w:rsidRDefault="00FB3A32" w:rsidP="00FB3A32">
      <w:pPr>
        <w:spacing w:after="0" w:line="480" w:lineRule="auto"/>
        <w:rPr>
          <w:rFonts w:ascii="Times New Roman" w:hAnsi="Times New Roman" w:cs="Times New Roman"/>
        </w:rPr>
      </w:pPr>
    </w:p>
    <w:p w14:paraId="0AD8A6A3" w14:textId="24798475" w:rsidR="00754E0C" w:rsidRPr="00FB3A32" w:rsidRDefault="00083267" w:rsidP="00FB3A32">
      <w:pPr>
        <w:spacing w:after="0" w:line="480" w:lineRule="auto"/>
        <w:rPr>
          <w:rFonts w:ascii="Times New Roman" w:hAnsi="Times New Roman" w:cs="Times New Roman"/>
          <w:b/>
          <w:bCs/>
        </w:rPr>
      </w:pPr>
      <w:r>
        <w:rPr>
          <w:rFonts w:ascii="Times New Roman" w:hAnsi="Times New Roman" w:cs="Times New Roman"/>
          <w:b/>
          <w:bCs/>
        </w:rPr>
        <w:t xml:space="preserve">Restricting the Vote: </w:t>
      </w:r>
      <w:r w:rsidR="00754E0C" w:rsidRPr="00FB3A32">
        <w:rPr>
          <w:rFonts w:ascii="Times New Roman" w:hAnsi="Times New Roman" w:cs="Times New Roman"/>
          <w:b/>
          <w:bCs/>
        </w:rPr>
        <w:t>Felony Disenfranchisement</w:t>
      </w:r>
      <w:r w:rsidR="008C37B2">
        <w:rPr>
          <w:rFonts w:ascii="Times New Roman" w:hAnsi="Times New Roman" w:cs="Times New Roman"/>
          <w:b/>
          <w:bCs/>
        </w:rPr>
        <w:t xml:space="preserve"> Laws</w:t>
      </w:r>
      <w:r w:rsidR="00754E0C" w:rsidRPr="00FB3A32">
        <w:rPr>
          <w:rFonts w:ascii="Times New Roman" w:hAnsi="Times New Roman" w:cs="Times New Roman"/>
          <w:b/>
          <w:bCs/>
        </w:rPr>
        <w:t xml:space="preserve"> in the </w:t>
      </w:r>
      <w:r w:rsidR="00FB3A32" w:rsidRPr="00FB3A32">
        <w:rPr>
          <w:rFonts w:ascii="Times New Roman" w:hAnsi="Times New Roman" w:cs="Times New Roman"/>
          <w:b/>
          <w:bCs/>
        </w:rPr>
        <w:t>C</w:t>
      </w:r>
      <w:r w:rsidR="00754E0C" w:rsidRPr="00FB3A32">
        <w:rPr>
          <w:rFonts w:ascii="Times New Roman" w:hAnsi="Times New Roman" w:cs="Times New Roman"/>
          <w:b/>
          <w:bCs/>
        </w:rPr>
        <w:t>ourts</w:t>
      </w:r>
    </w:p>
    <w:p w14:paraId="1D70C386" w14:textId="66E702B6" w:rsidR="008E61A7" w:rsidRDefault="00FC31E7" w:rsidP="00FB3A32">
      <w:pPr>
        <w:spacing w:after="0" w:line="480" w:lineRule="auto"/>
        <w:rPr>
          <w:rFonts w:ascii="Times New Roman" w:hAnsi="Times New Roman" w:cs="Times New Roman"/>
        </w:rPr>
      </w:pPr>
      <w:r>
        <w:rPr>
          <w:rFonts w:ascii="Times New Roman" w:hAnsi="Times New Roman" w:cs="Times New Roman"/>
        </w:rPr>
        <w:t xml:space="preserve">Before 1860, 17 states barred those with serious criminal convictions from voting in elections. This number more than doubled in the wake of </w:t>
      </w:r>
      <w:r w:rsidR="000522E0">
        <w:rPr>
          <w:rFonts w:ascii="Times New Roman" w:hAnsi="Times New Roman" w:cs="Times New Roman"/>
        </w:rPr>
        <w:t>the C</w:t>
      </w:r>
      <w:r>
        <w:rPr>
          <w:rFonts w:ascii="Times New Roman" w:hAnsi="Times New Roman" w:cs="Times New Roman"/>
        </w:rPr>
        <w:t xml:space="preserve">ivil </w:t>
      </w:r>
      <w:r w:rsidR="000522E0">
        <w:rPr>
          <w:rFonts w:ascii="Times New Roman" w:hAnsi="Times New Roman" w:cs="Times New Roman"/>
        </w:rPr>
        <w:t>W</w:t>
      </w:r>
      <w:r>
        <w:rPr>
          <w:rFonts w:ascii="Times New Roman" w:hAnsi="Times New Roman" w:cs="Times New Roman"/>
        </w:rPr>
        <w:t>ar</w:t>
      </w:r>
      <w:r w:rsidR="000522E0">
        <w:rPr>
          <w:rFonts w:ascii="Times New Roman" w:hAnsi="Times New Roman" w:cs="Times New Roman"/>
        </w:rPr>
        <w:t xml:space="preserve"> (1961–1965)</w:t>
      </w:r>
      <w:r>
        <w:rPr>
          <w:rFonts w:ascii="Times New Roman" w:hAnsi="Times New Roman" w:cs="Times New Roman"/>
        </w:rPr>
        <w:t xml:space="preserve">, </w:t>
      </w:r>
      <w:r w:rsidR="000522E0">
        <w:rPr>
          <w:rFonts w:ascii="Times New Roman" w:hAnsi="Times New Roman" w:cs="Times New Roman"/>
        </w:rPr>
        <w:t>the E</w:t>
      </w:r>
      <w:r>
        <w:rPr>
          <w:rFonts w:ascii="Times New Roman" w:hAnsi="Times New Roman" w:cs="Times New Roman"/>
        </w:rPr>
        <w:t>mancipation</w:t>
      </w:r>
      <w:r w:rsidR="000522E0">
        <w:rPr>
          <w:rFonts w:ascii="Times New Roman" w:hAnsi="Times New Roman" w:cs="Times New Roman"/>
        </w:rPr>
        <w:t xml:space="preserve"> Proclamation (1963)</w:t>
      </w:r>
      <w:r>
        <w:rPr>
          <w:rFonts w:ascii="Times New Roman" w:hAnsi="Times New Roman" w:cs="Times New Roman"/>
        </w:rPr>
        <w:t xml:space="preserve">, </w:t>
      </w:r>
      <w:r w:rsidR="000522E0">
        <w:rPr>
          <w:rFonts w:ascii="Times New Roman" w:hAnsi="Times New Roman" w:cs="Times New Roman"/>
        </w:rPr>
        <w:t>R</w:t>
      </w:r>
      <w:r>
        <w:rPr>
          <w:rFonts w:ascii="Times New Roman" w:hAnsi="Times New Roman" w:cs="Times New Roman"/>
        </w:rPr>
        <w:t>econstruction</w:t>
      </w:r>
      <w:r w:rsidR="000522E0">
        <w:rPr>
          <w:rFonts w:ascii="Times New Roman" w:hAnsi="Times New Roman" w:cs="Times New Roman"/>
        </w:rPr>
        <w:t xml:space="preserve"> (1865–1877)</w:t>
      </w:r>
      <w:r>
        <w:rPr>
          <w:rFonts w:ascii="Times New Roman" w:hAnsi="Times New Roman" w:cs="Times New Roman"/>
        </w:rPr>
        <w:t xml:space="preserve">, and </w:t>
      </w:r>
      <w:r w:rsidR="000522E0">
        <w:rPr>
          <w:rFonts w:ascii="Times New Roman" w:hAnsi="Times New Roman" w:cs="Times New Roman"/>
        </w:rPr>
        <w:t>Redemption (1877–1900)</w:t>
      </w:r>
      <w:r>
        <w:rPr>
          <w:rFonts w:ascii="Times New Roman" w:hAnsi="Times New Roman" w:cs="Times New Roman"/>
        </w:rPr>
        <w:t xml:space="preserve"> (Fig. 1).</w:t>
      </w:r>
      <w:r w:rsidR="000522E0">
        <w:rPr>
          <w:rFonts w:ascii="Times New Roman" w:hAnsi="Times New Roman" w:cs="Times New Roman"/>
        </w:rPr>
        <w:t xml:space="preserve"> This rush to bar people with convictions from voting is one of many facets of the U.S. criminal legal system that sets it apart from other countries. People serving time vote from prison in countries ranging from Australia and New Zealand to Canada and Peru to the European Union and Israel to Kenya and Zimbabwe</w:t>
      </w:r>
      <w:r w:rsidR="008E61A7">
        <w:rPr>
          <w:rFonts w:ascii="Times New Roman" w:hAnsi="Times New Roman" w:cs="Times New Roman"/>
        </w:rPr>
        <w:t xml:space="preserve"> to China and Japan</w:t>
      </w:r>
      <w:r w:rsidR="000522E0">
        <w:rPr>
          <w:rFonts w:ascii="Times New Roman" w:hAnsi="Times New Roman" w:cs="Times New Roman"/>
        </w:rPr>
        <w:t>.</w:t>
      </w:r>
      <w:r w:rsidR="00E72E00">
        <w:rPr>
          <w:rStyle w:val="FootnoteReference"/>
          <w:rFonts w:ascii="Times New Roman" w:hAnsi="Times New Roman" w:cs="Times New Roman"/>
        </w:rPr>
        <w:footnoteReference w:id="29"/>
      </w:r>
    </w:p>
    <w:p w14:paraId="4C3C1C1D" w14:textId="5D7F39FB" w:rsidR="00754E0C" w:rsidRDefault="008E61A7" w:rsidP="008E61A7">
      <w:pPr>
        <w:spacing w:after="0" w:line="480" w:lineRule="auto"/>
        <w:ind w:firstLine="720"/>
        <w:rPr>
          <w:rFonts w:ascii="Times New Roman" w:hAnsi="Times New Roman" w:cs="Times New Roman"/>
        </w:rPr>
      </w:pPr>
      <w:r>
        <w:rPr>
          <w:rFonts w:ascii="Times New Roman" w:hAnsi="Times New Roman" w:cs="Times New Roman"/>
        </w:rPr>
        <w:t xml:space="preserve">The practice has not gone unchallenged in the courts. In 1974, the U.S. Supreme Court ruled in </w:t>
      </w:r>
      <w:r>
        <w:rPr>
          <w:rFonts w:ascii="Times New Roman" w:hAnsi="Times New Roman" w:cs="Times New Roman"/>
          <w:i/>
          <w:iCs/>
        </w:rPr>
        <w:t>Richardson v. Ramirez</w:t>
      </w:r>
      <w:r>
        <w:rPr>
          <w:rFonts w:ascii="Times New Roman" w:hAnsi="Times New Roman" w:cs="Times New Roman"/>
        </w:rPr>
        <w:t xml:space="preserve"> that felony disenfranchisement does not violate the Fifteenth Amendment, but ruled in </w:t>
      </w:r>
      <w:r>
        <w:rPr>
          <w:rFonts w:ascii="Times New Roman" w:hAnsi="Times New Roman" w:cs="Times New Roman"/>
          <w:i/>
          <w:iCs/>
        </w:rPr>
        <w:t>Hunter v. Underwood</w:t>
      </w:r>
      <w:r>
        <w:rPr>
          <w:rFonts w:ascii="Times New Roman" w:hAnsi="Times New Roman" w:cs="Times New Roman"/>
        </w:rPr>
        <w:t xml:space="preserve"> a decade later that disenfranchisement </w:t>
      </w:r>
      <w:r w:rsidRPr="008E61A7">
        <w:rPr>
          <w:rFonts w:ascii="Times New Roman" w:hAnsi="Times New Roman" w:cs="Times New Roman"/>
          <w:i/>
          <w:iCs/>
        </w:rPr>
        <w:t>would</w:t>
      </w:r>
      <w:r>
        <w:rPr>
          <w:rFonts w:ascii="Times New Roman" w:hAnsi="Times New Roman" w:cs="Times New Roman"/>
        </w:rPr>
        <w:t xml:space="preserve"> violate the Constitution if it had “a racial motivation and racially discriminatory impact.” This ruling was based on legislation that Congress passed to guarantee voting rights, specifically the Voting Rights Act of 1965 as amended in 1982:</w:t>
      </w:r>
    </w:p>
    <w:p w14:paraId="3740371C" w14:textId="2E0871CF" w:rsidR="008E61A7" w:rsidRPr="008E61A7" w:rsidRDefault="008E61A7" w:rsidP="00453D32">
      <w:pPr>
        <w:spacing w:after="0" w:line="480" w:lineRule="auto"/>
        <w:ind w:left="720" w:right="720"/>
        <w:rPr>
          <w:rFonts w:ascii="Times New Roman" w:hAnsi="Times New Roman" w:cs="Times New Roman"/>
        </w:rPr>
      </w:pPr>
      <w:r>
        <w:rPr>
          <w:rFonts w:ascii="Times New Roman" w:hAnsi="Times New Roman" w:cs="Times New Roman"/>
        </w:rPr>
        <w:lastRenderedPageBreak/>
        <w:t>A violation of subsection (a) of this section is established if, based on the totality of circumstances, it is shown that the political processes leading to nomination or election . . . are not equally open to participation by members of a class of citizens protected by subsection (a) of this section in that its members have less opportunity than other members of the electorate to participate in the political process and to elect representatives of their choice.</w:t>
      </w:r>
      <w:r>
        <w:rPr>
          <w:rStyle w:val="FootnoteReference"/>
          <w:rFonts w:ascii="Times New Roman" w:hAnsi="Times New Roman" w:cs="Times New Roman"/>
        </w:rPr>
        <w:footnoteReference w:id="30"/>
      </w:r>
    </w:p>
    <w:p w14:paraId="3A9D769F" w14:textId="61F18C86" w:rsidR="008E61A7" w:rsidRPr="00453D32" w:rsidRDefault="00453D32" w:rsidP="00FB3A32">
      <w:pPr>
        <w:spacing w:after="0" w:line="480" w:lineRule="auto"/>
        <w:rPr>
          <w:rFonts w:ascii="Times New Roman" w:hAnsi="Times New Roman" w:cs="Times New Roman"/>
        </w:rPr>
      </w:pPr>
      <w:r>
        <w:rPr>
          <w:rFonts w:ascii="Times New Roman" w:hAnsi="Times New Roman" w:cs="Times New Roman"/>
        </w:rPr>
        <w:t xml:space="preserve">In response to the amendment of the Voting Rights Act and the Court’s apparent openness to consider felony disenfranchisement as a potentially impermissible restriction of the right to vote, prisoners began challenging these statutes. In </w:t>
      </w:r>
      <w:r>
        <w:rPr>
          <w:rFonts w:ascii="Times New Roman" w:hAnsi="Times New Roman" w:cs="Times New Roman"/>
          <w:i/>
          <w:iCs/>
        </w:rPr>
        <w:t>Baker v. Pataki</w:t>
      </w:r>
      <w:r>
        <w:rPr>
          <w:rFonts w:ascii="Times New Roman" w:hAnsi="Times New Roman" w:cs="Times New Roman"/>
        </w:rPr>
        <w:t xml:space="preserve"> (1996), the Second Circuit split on the question of whether or not the Voting Rights Act could be applied to people in prison. Eight years later, the same Circuit clarified that it did not believe the Voting Rights Act could apply to prisoners without a “clear statement” of intent from Congress. They reasoned that if Congress had intended it to apply, it would have indicated so when it amended the statute in 1982. Another defeat came from the Eleventh Circuit in 2005, when they ruled in </w:t>
      </w:r>
      <w:r>
        <w:rPr>
          <w:rFonts w:ascii="Times New Roman" w:hAnsi="Times New Roman" w:cs="Times New Roman"/>
          <w:i/>
          <w:iCs/>
        </w:rPr>
        <w:t>Johnson v. Bush</w:t>
      </w:r>
      <w:r>
        <w:rPr>
          <w:rFonts w:ascii="Times New Roman" w:hAnsi="Times New Roman" w:cs="Times New Roman"/>
        </w:rPr>
        <w:t xml:space="preserve"> that the Voting Rights Act could not apply to prisoners.</w:t>
      </w:r>
    </w:p>
    <w:p w14:paraId="2CFD431F" w14:textId="2F69A787" w:rsidR="003D6B07" w:rsidRDefault="00453D32" w:rsidP="00FB3A32">
      <w:pPr>
        <w:spacing w:after="0" w:line="480" w:lineRule="auto"/>
        <w:rPr>
          <w:rFonts w:ascii="Times New Roman" w:hAnsi="Times New Roman" w:cs="Times New Roman"/>
        </w:rPr>
      </w:pPr>
      <w:r>
        <w:rPr>
          <w:rFonts w:ascii="Times New Roman" w:hAnsi="Times New Roman" w:cs="Times New Roman"/>
        </w:rPr>
        <w:tab/>
        <w:t xml:space="preserve">At this point, </w:t>
      </w:r>
      <w:r w:rsidR="003D6B07">
        <w:rPr>
          <w:rFonts w:ascii="Times New Roman" w:hAnsi="Times New Roman" w:cs="Times New Roman"/>
        </w:rPr>
        <w:t xml:space="preserve">the Supreme Court had yet to weigh in on the issue, but a 2006 case from the Ninth Circuit gave them an opportunity that they took. In </w:t>
      </w:r>
      <w:r w:rsidR="003D6B07">
        <w:rPr>
          <w:rFonts w:ascii="Times New Roman" w:hAnsi="Times New Roman" w:cs="Times New Roman"/>
          <w:i/>
          <w:iCs/>
        </w:rPr>
        <w:t xml:space="preserve">Farrakhan v. </w:t>
      </w:r>
      <w:r w:rsidR="004039FD">
        <w:rPr>
          <w:rFonts w:ascii="Times New Roman" w:hAnsi="Times New Roman" w:cs="Times New Roman"/>
          <w:i/>
          <w:iCs/>
        </w:rPr>
        <w:t>Gregoire</w:t>
      </w:r>
      <w:r w:rsidR="003D6B07">
        <w:rPr>
          <w:rFonts w:ascii="Times New Roman" w:hAnsi="Times New Roman" w:cs="Times New Roman"/>
        </w:rPr>
        <w:t xml:space="preserve">, the Circuit Court found that the Voting Rights Act did, in fact, apply to imprisoned people who had been convicted of felonies. In doing so, it ruled that the lower, district court erred in not considering evidence of disproportionate imprisonment as evidence of racial discrimination. The state appealed, and the Supreme Court </w:t>
      </w:r>
      <w:r w:rsidR="004039FD">
        <w:rPr>
          <w:rFonts w:ascii="Times New Roman" w:hAnsi="Times New Roman" w:cs="Times New Roman"/>
        </w:rPr>
        <w:t>refused to hear the case, letting the Ninth Circuit ruling stand.</w:t>
      </w:r>
      <w:r w:rsidR="003D6B07">
        <w:rPr>
          <w:rFonts w:ascii="Times New Roman" w:hAnsi="Times New Roman" w:cs="Times New Roman"/>
        </w:rPr>
        <w:t xml:space="preserve"> The case thus landed back in the </w:t>
      </w:r>
      <w:r w:rsidR="004039FD">
        <w:rPr>
          <w:rFonts w:ascii="Times New Roman" w:hAnsi="Times New Roman" w:cs="Times New Roman"/>
        </w:rPr>
        <w:t>Eastern District of Washington State</w:t>
      </w:r>
      <w:r w:rsidR="003D6B07">
        <w:rPr>
          <w:rFonts w:ascii="Times New Roman" w:hAnsi="Times New Roman" w:cs="Times New Roman"/>
        </w:rPr>
        <w:t xml:space="preserve">, which found that there </w:t>
      </w:r>
      <w:r w:rsidR="003D6B07">
        <w:rPr>
          <w:rFonts w:ascii="Times New Roman" w:hAnsi="Times New Roman" w:cs="Times New Roman"/>
        </w:rPr>
        <w:lastRenderedPageBreak/>
        <w:t xml:space="preserve">was </w:t>
      </w:r>
      <w:r w:rsidR="004039FD">
        <w:rPr>
          <w:rFonts w:ascii="Times New Roman" w:hAnsi="Times New Roman" w:cs="Times New Roman"/>
        </w:rPr>
        <w:t>“</w:t>
      </w:r>
      <w:r w:rsidR="003D6B07">
        <w:rPr>
          <w:rFonts w:ascii="Times New Roman" w:hAnsi="Times New Roman" w:cs="Times New Roman"/>
        </w:rPr>
        <w:t>discrimination</w:t>
      </w:r>
      <w:r w:rsidR="004039FD">
        <w:rPr>
          <w:rFonts w:ascii="Times New Roman" w:hAnsi="Times New Roman" w:cs="Times New Roman"/>
        </w:rPr>
        <w:t xml:space="preserve"> in Washington’s criminal justice system</w:t>
      </w:r>
      <w:r w:rsidR="003D6B07">
        <w:rPr>
          <w:rFonts w:ascii="Times New Roman" w:hAnsi="Times New Roman" w:cs="Times New Roman"/>
        </w:rPr>
        <w:t>,</w:t>
      </w:r>
      <w:r w:rsidR="004039FD">
        <w:rPr>
          <w:rFonts w:ascii="Times New Roman" w:hAnsi="Times New Roman" w:cs="Times New Roman"/>
        </w:rPr>
        <w:t>”</w:t>
      </w:r>
      <w:r w:rsidR="003D6B07">
        <w:rPr>
          <w:rFonts w:ascii="Times New Roman" w:hAnsi="Times New Roman" w:cs="Times New Roman"/>
        </w:rPr>
        <w:t xml:space="preserve"> but that the discrimination it found was not sufficient to balance out the </w:t>
      </w:r>
      <w:r w:rsidR="003D6B07">
        <w:rPr>
          <w:rFonts w:ascii="Times New Roman" w:hAnsi="Times New Roman" w:cs="Times New Roman"/>
          <w:i/>
          <w:iCs/>
        </w:rPr>
        <w:t>lack</w:t>
      </w:r>
      <w:r w:rsidR="003D6B07">
        <w:rPr>
          <w:rFonts w:ascii="Times New Roman" w:hAnsi="Times New Roman" w:cs="Times New Roman"/>
        </w:rPr>
        <w:t xml:space="preserve"> of intent to discriminate in Washington’s original statute: “Washington’s history, or lack thereof, of racial bias in its electoral process and in its decision to enact the felon disenfranchisement provisions, counterbalance the contemporary discriminatory effects that result from the day-to-day functioning of Washington’s criminal justice system.”</w:t>
      </w:r>
      <w:r w:rsidR="004039FD">
        <w:rPr>
          <w:rFonts w:ascii="Times New Roman" w:hAnsi="Times New Roman" w:cs="Times New Roman"/>
        </w:rPr>
        <w:t xml:space="preserve"> On a second appeal, the Ninth Circuit found Washington’s low to violate the Voting Rights Act, but then reheard the case </w:t>
      </w:r>
      <w:proofErr w:type="spellStart"/>
      <w:r w:rsidR="004039FD">
        <w:rPr>
          <w:rFonts w:ascii="Times New Roman" w:hAnsi="Times New Roman" w:cs="Times New Roman"/>
        </w:rPr>
        <w:t>en</w:t>
      </w:r>
      <w:proofErr w:type="spellEnd"/>
      <w:r w:rsidR="004039FD">
        <w:rPr>
          <w:rFonts w:ascii="Times New Roman" w:hAnsi="Times New Roman" w:cs="Times New Roman"/>
        </w:rPr>
        <w:t xml:space="preserve"> banc (rather than before a three-judge panel). This time, the court </w:t>
      </w:r>
      <w:r w:rsidR="009E531C">
        <w:rPr>
          <w:rFonts w:ascii="Times New Roman" w:hAnsi="Times New Roman" w:cs="Times New Roman"/>
        </w:rPr>
        <w:t xml:space="preserve">upheld the lower court’s opinion. Three years later, in </w:t>
      </w:r>
      <w:r w:rsidR="009E531C">
        <w:rPr>
          <w:rFonts w:ascii="Times New Roman" w:hAnsi="Times New Roman" w:cs="Times New Roman"/>
          <w:i/>
          <w:iCs/>
        </w:rPr>
        <w:t>Shelby v. Holder</w:t>
      </w:r>
      <w:r w:rsidR="009E531C">
        <w:rPr>
          <w:rFonts w:ascii="Times New Roman" w:hAnsi="Times New Roman" w:cs="Times New Roman"/>
        </w:rPr>
        <w:t xml:space="preserve"> (2013), the U.S. Supreme Court gutted sections 4 and 5 of the VRA, leading to more than 100 new voting restrictions passing in states across the country.</w:t>
      </w:r>
    </w:p>
    <w:p w14:paraId="5B4ACB5D" w14:textId="247F99FC" w:rsidR="009E531C" w:rsidRPr="00BB7539" w:rsidRDefault="009E531C" w:rsidP="00FB3A32">
      <w:pPr>
        <w:spacing w:after="0" w:line="480" w:lineRule="auto"/>
        <w:rPr>
          <w:rFonts w:ascii="Times New Roman" w:hAnsi="Times New Roman" w:cs="Times New Roman"/>
        </w:rPr>
      </w:pPr>
      <w:r>
        <w:rPr>
          <w:rFonts w:ascii="Times New Roman" w:hAnsi="Times New Roman" w:cs="Times New Roman"/>
        </w:rPr>
        <w:tab/>
      </w:r>
      <w:r w:rsidR="00BB7539">
        <w:rPr>
          <w:rFonts w:ascii="Times New Roman" w:hAnsi="Times New Roman" w:cs="Times New Roman"/>
        </w:rPr>
        <w:t>C</w:t>
      </w:r>
      <w:r>
        <w:rPr>
          <w:rFonts w:ascii="Times New Roman" w:hAnsi="Times New Roman" w:cs="Times New Roman"/>
        </w:rPr>
        <w:t>riminal disenfranchisement i</w:t>
      </w:r>
      <w:r w:rsidR="00BB7539">
        <w:rPr>
          <w:rFonts w:ascii="Times New Roman" w:hAnsi="Times New Roman" w:cs="Times New Roman"/>
        </w:rPr>
        <w:t>s</w:t>
      </w:r>
      <w:r>
        <w:rPr>
          <w:rFonts w:ascii="Times New Roman" w:hAnsi="Times New Roman" w:cs="Times New Roman"/>
        </w:rPr>
        <w:t xml:space="preserve"> </w:t>
      </w:r>
      <w:r w:rsidR="00BB7539">
        <w:rPr>
          <w:rFonts w:ascii="Times New Roman" w:hAnsi="Times New Roman" w:cs="Times New Roman"/>
        </w:rPr>
        <w:t xml:space="preserve">unequivocably legal in the United States—after all, as the Ninth Circuit noted in its </w:t>
      </w:r>
      <w:proofErr w:type="spellStart"/>
      <w:r w:rsidR="00BB7539">
        <w:rPr>
          <w:rFonts w:ascii="Times New Roman" w:hAnsi="Times New Roman" w:cs="Times New Roman"/>
        </w:rPr>
        <w:t>en</w:t>
      </w:r>
      <w:proofErr w:type="spellEnd"/>
      <w:r w:rsidR="00BB7539">
        <w:rPr>
          <w:rFonts w:ascii="Times New Roman" w:hAnsi="Times New Roman" w:cs="Times New Roman"/>
        </w:rPr>
        <w:t xml:space="preserve"> banc decision, Congress was well aware of these laws when it passed the VRA in 1965 and when it amended it in 1982. The only way to challenge it would be to demonstrate that a criminal legal system is “infected by </w:t>
      </w:r>
      <w:r w:rsidR="00BB7539">
        <w:rPr>
          <w:rFonts w:ascii="Times New Roman" w:hAnsi="Times New Roman" w:cs="Times New Roman"/>
          <w:i/>
          <w:iCs/>
        </w:rPr>
        <w:t>intentional</w:t>
      </w:r>
      <w:r w:rsidR="00BB7539">
        <w:rPr>
          <w:rFonts w:ascii="Times New Roman" w:hAnsi="Times New Roman" w:cs="Times New Roman"/>
        </w:rPr>
        <w:t xml:space="preserve"> discrimination,” the standard for most discrimination claims since </w:t>
      </w:r>
      <w:r w:rsidR="00BB7539">
        <w:rPr>
          <w:rFonts w:ascii="Times New Roman" w:hAnsi="Times New Roman" w:cs="Times New Roman"/>
          <w:i/>
          <w:iCs/>
        </w:rPr>
        <w:t>Washington v. Davis</w:t>
      </w:r>
      <w:r w:rsidR="00BB7539">
        <w:rPr>
          <w:rFonts w:ascii="Times New Roman" w:hAnsi="Times New Roman" w:cs="Times New Roman"/>
        </w:rPr>
        <w:t xml:space="preserve"> (1976). Voting</w:t>
      </w:r>
      <w:r w:rsidR="0044126A">
        <w:rPr>
          <w:rFonts w:ascii="Times New Roman" w:hAnsi="Times New Roman" w:cs="Times New Roman"/>
        </w:rPr>
        <w:t>, perhaps along with jury service, holds a central place in the U.S. imagination as a right that is central to the functioning of democracy. Some states have responded to disenfranchisement by modifying their laws. Twenty-three states now automatically restore voting rights upon release from prison. By contrast, only three states permanently disenfranchise those with felony convictions.</w:t>
      </w:r>
    </w:p>
    <w:p w14:paraId="4CC304D6" w14:textId="77777777" w:rsidR="008C37B2" w:rsidRPr="003D6B07" w:rsidRDefault="008C37B2" w:rsidP="00FB3A32">
      <w:pPr>
        <w:spacing w:after="0" w:line="480" w:lineRule="auto"/>
        <w:rPr>
          <w:rFonts w:ascii="Times New Roman" w:hAnsi="Times New Roman" w:cs="Times New Roman"/>
        </w:rPr>
      </w:pPr>
    </w:p>
    <w:p w14:paraId="30084C89" w14:textId="300FB8A3" w:rsidR="008C37B2" w:rsidRPr="008C37B2" w:rsidRDefault="00083267" w:rsidP="00CC68BE">
      <w:pPr>
        <w:keepNext/>
        <w:spacing w:after="0" w:line="480" w:lineRule="auto"/>
        <w:rPr>
          <w:rFonts w:ascii="Times New Roman" w:hAnsi="Times New Roman" w:cs="Times New Roman"/>
          <w:b/>
          <w:bCs/>
        </w:rPr>
      </w:pPr>
      <w:r>
        <w:rPr>
          <w:rFonts w:ascii="Times New Roman" w:hAnsi="Times New Roman" w:cs="Times New Roman"/>
          <w:b/>
          <w:bCs/>
        </w:rPr>
        <w:lastRenderedPageBreak/>
        <w:t xml:space="preserve">Beyond the Vote: </w:t>
      </w:r>
      <w:r w:rsidR="008C37B2" w:rsidRPr="008C37B2">
        <w:rPr>
          <w:rFonts w:ascii="Times New Roman" w:hAnsi="Times New Roman" w:cs="Times New Roman"/>
          <w:b/>
          <w:bCs/>
        </w:rPr>
        <w:t>Fostering Democratic Participation Outside of the State</w:t>
      </w:r>
    </w:p>
    <w:p w14:paraId="7BE1BC2B" w14:textId="77777777" w:rsidR="00101317" w:rsidRDefault="00667A90" w:rsidP="00FD740D">
      <w:pPr>
        <w:spacing w:after="0" w:line="480" w:lineRule="auto"/>
        <w:rPr>
          <w:rFonts w:ascii="Times New Roman" w:hAnsi="Times New Roman" w:cs="Times New Roman"/>
        </w:rPr>
      </w:pPr>
      <w:r>
        <w:rPr>
          <w:rFonts w:ascii="Times New Roman" w:hAnsi="Times New Roman" w:cs="Times New Roman"/>
        </w:rPr>
        <w:t>Criminal disenfranchisement is not the only mechanism by which a disfavored group in the U</w:t>
      </w:r>
      <w:r w:rsidR="00BC1EA3">
        <w:rPr>
          <w:rFonts w:ascii="Times New Roman" w:hAnsi="Times New Roman" w:cs="Times New Roman"/>
        </w:rPr>
        <w:t xml:space="preserve">nited States experiences social death. As Cacho demonstrates, undocumented immigrants experience a similar social death. </w:t>
      </w:r>
      <w:r w:rsidR="00101317">
        <w:rPr>
          <w:rFonts w:ascii="Times New Roman" w:hAnsi="Times New Roman" w:cs="Times New Roman"/>
        </w:rPr>
        <w:t>In the words of Nicholas De Genova,</w:t>
      </w:r>
    </w:p>
    <w:p w14:paraId="43CF7CA5" w14:textId="20B924E8" w:rsidR="00101317" w:rsidRDefault="00101317" w:rsidP="00101317">
      <w:pPr>
        <w:spacing w:after="0" w:line="480" w:lineRule="auto"/>
        <w:ind w:left="720" w:right="720"/>
        <w:rPr>
          <w:rFonts w:ascii="Times New Roman" w:hAnsi="Times New Roman" w:cs="Times New Roman"/>
        </w:rPr>
      </w:pPr>
      <w:r w:rsidRPr="00101317">
        <w:rPr>
          <w:rFonts w:ascii="Times New Roman" w:hAnsi="Times New Roman" w:cs="Times New Roman"/>
        </w:rPr>
        <w:t xml:space="preserve">Beginning in the 1960s, precisely when Mexican migration escalated dramatically—and ever since—persistent revisions in </w:t>
      </w:r>
      <w:r>
        <w:rPr>
          <w:rFonts w:ascii="Times New Roman" w:hAnsi="Times New Roman" w:cs="Times New Roman"/>
        </w:rPr>
        <w:t>[immigration]</w:t>
      </w:r>
      <w:r w:rsidRPr="00101317">
        <w:rPr>
          <w:rFonts w:ascii="Times New Roman" w:hAnsi="Times New Roman" w:cs="Times New Roman"/>
        </w:rPr>
        <w:t xml:space="preserve"> law have effectively foreclosed the viable possibilities for the great majority who would migrate from Mexico to do so in accord with the law, and thus played an instrumental role in the production of a legally vulnerable undocumented workforce of </w:t>
      </w:r>
      <w:r>
        <w:rPr>
          <w:rFonts w:ascii="Times New Roman" w:hAnsi="Times New Roman" w:cs="Times New Roman"/>
        </w:rPr>
        <w:t>“</w:t>
      </w:r>
      <w:r w:rsidRPr="00101317">
        <w:rPr>
          <w:rFonts w:ascii="Times New Roman" w:hAnsi="Times New Roman" w:cs="Times New Roman"/>
        </w:rPr>
        <w:t>illegal aliens.</w:t>
      </w:r>
      <w:r>
        <w:rPr>
          <w:rFonts w:ascii="Times New Roman" w:hAnsi="Times New Roman" w:cs="Times New Roman"/>
        </w:rPr>
        <w:t>”</w:t>
      </w:r>
      <w:r>
        <w:rPr>
          <w:rStyle w:val="FootnoteReference"/>
          <w:rFonts w:ascii="Times New Roman" w:hAnsi="Times New Roman" w:cs="Times New Roman"/>
        </w:rPr>
        <w:footnoteReference w:id="31"/>
      </w:r>
    </w:p>
    <w:p w14:paraId="043953D3" w14:textId="26A83768" w:rsidR="00104E5B" w:rsidRDefault="00BC1EA3" w:rsidP="00FD740D">
      <w:pPr>
        <w:spacing w:after="0" w:line="480" w:lineRule="auto"/>
        <w:rPr>
          <w:rFonts w:ascii="Times New Roman" w:hAnsi="Times New Roman" w:cs="Times New Roman"/>
        </w:rPr>
      </w:pPr>
      <w:r>
        <w:rPr>
          <w:rFonts w:ascii="Times New Roman" w:hAnsi="Times New Roman" w:cs="Times New Roman"/>
        </w:rPr>
        <w:t>Indeed, the limiting of legal pathways to citizenship despite the necessity of low-wage Mexican labor for the U.S. economy has resulted in something akin to the “new Jim Crow” experienced by Black people with criminal convictions.</w:t>
      </w:r>
    </w:p>
    <w:p w14:paraId="07665BBF" w14:textId="238CF7DA" w:rsidR="000A1471" w:rsidRDefault="000A1471" w:rsidP="00FD740D">
      <w:pPr>
        <w:spacing w:after="0" w:line="480" w:lineRule="auto"/>
        <w:rPr>
          <w:rFonts w:ascii="Times New Roman" w:hAnsi="Times New Roman" w:cs="Times New Roman"/>
        </w:rPr>
      </w:pPr>
      <w:r>
        <w:rPr>
          <w:rFonts w:ascii="Times New Roman" w:hAnsi="Times New Roman" w:cs="Times New Roman"/>
        </w:rPr>
        <w:tab/>
        <w:t>Without going into too much detail about federal immigration policies, I will note that immigrant visa issuances during fiscal year 2023 were limited to no more than 226,000 in the family-sponsored preferences and 140,000 in the employment-based preferences. (There is no limit on visas issued to immediate relatives.) These 366,000 visas account for the most accessed means of lawfully immigrating. There is a 7% per-country limit on visa issuances to any single country, meaning that the per-country limit was 58,800 in 2023. But Mexico, the largest sending nation to the United States, had 1,224,062 applicants on the waiting list for an immigrant visa in 2020, and in 2022, the United States was still finalizing Mexican family-sponsored visa applications from 2000—applications that were nearly two decades old</w:t>
      </w:r>
      <w:r w:rsidR="00DF6A9B">
        <w:rPr>
          <w:rFonts w:ascii="Times New Roman" w:hAnsi="Times New Roman" w:cs="Times New Roman"/>
        </w:rPr>
        <w:t xml:space="preserve"> (Figure 2)</w:t>
      </w:r>
      <w:r>
        <w:rPr>
          <w:rFonts w:ascii="Times New Roman" w:hAnsi="Times New Roman" w:cs="Times New Roman"/>
        </w:rPr>
        <w:t xml:space="preserve">. In other </w:t>
      </w:r>
      <w:r>
        <w:rPr>
          <w:rFonts w:ascii="Times New Roman" w:hAnsi="Times New Roman" w:cs="Times New Roman"/>
        </w:rPr>
        <w:lastRenderedPageBreak/>
        <w:t>words, legal immigration from Mexico to the United States is effectively impossible, by design. One result is a large, visibly Mexican population, especially in border states, who live, work, and pay taxes in the United States for long periods of times (sometimes for life) with no right to vote. In 2014, Latines made up 38.6% of California’s population, but only 28% of its electorate</w:t>
      </w:r>
      <w:r w:rsidR="004E6A7A">
        <w:rPr>
          <w:rFonts w:ascii="Times New Roman" w:hAnsi="Times New Roman" w:cs="Times New Roman"/>
        </w:rPr>
        <w:t>. And most Latines in California were ineligible to vote (</w:t>
      </w:r>
      <w:r w:rsidR="00DF6A9B">
        <w:rPr>
          <w:rFonts w:ascii="Times New Roman" w:hAnsi="Times New Roman" w:cs="Times New Roman"/>
        </w:rPr>
        <w:t>Figure 3</w:t>
      </w:r>
      <w:r w:rsidR="004E6A7A">
        <w:rPr>
          <w:rFonts w:ascii="Times New Roman" w:hAnsi="Times New Roman" w:cs="Times New Roman"/>
        </w:rPr>
        <w:t>).</w:t>
      </w:r>
      <w:r w:rsidR="000D205E">
        <w:rPr>
          <w:rFonts w:ascii="Times New Roman" w:hAnsi="Times New Roman" w:cs="Times New Roman"/>
        </w:rPr>
        <w:t xml:space="preserve"> Yet, undocumented Latines have found many ways to participate in the civic life of the United States.</w:t>
      </w:r>
    </w:p>
    <w:p w14:paraId="35D4365B" w14:textId="05991CE4" w:rsidR="000A1471" w:rsidRDefault="000D205E" w:rsidP="00FD740D">
      <w:pPr>
        <w:spacing w:after="0" w:line="480" w:lineRule="auto"/>
        <w:rPr>
          <w:rFonts w:ascii="Times New Roman" w:hAnsi="Times New Roman" w:cs="Times New Roman"/>
        </w:rPr>
      </w:pPr>
      <w:r>
        <w:rPr>
          <w:rFonts w:ascii="Times New Roman" w:hAnsi="Times New Roman" w:cs="Times New Roman"/>
        </w:rPr>
        <w:tab/>
      </w:r>
      <w:r w:rsidR="00B54456">
        <w:rPr>
          <w:rFonts w:ascii="Times New Roman" w:hAnsi="Times New Roman" w:cs="Times New Roman"/>
        </w:rPr>
        <w:t>Anthropologist Renato Rosaldo defines “cultural citizenship” as “the right to be difference (in terms of race, ethnicity, or native language) with respect to the norms of the dominant national community, without compromising one’s right to belong, in the sense of participating in the nation-state’s democratic processes.” He continues, “From the point of view of subordinated communities, cultural citizenship offers the possibility of legitimizing demands made in the struggle to enfranchise themselves. These demands can range from legal, political, and economic issues to matters of human dignity, well-being, and respect.” Finally, “cultural citizenship includes and also goes beyond the dichotomous categories of legal documents, which one either has or does not have, to encompass a range of gradations in the qualities of citizenship.”</w:t>
      </w:r>
      <w:r w:rsidR="00B54456">
        <w:rPr>
          <w:rStyle w:val="FootnoteReference"/>
          <w:rFonts w:ascii="Times New Roman" w:hAnsi="Times New Roman" w:cs="Times New Roman"/>
        </w:rPr>
        <w:footnoteReference w:id="32"/>
      </w:r>
      <w:r w:rsidR="00B54456">
        <w:rPr>
          <w:rFonts w:ascii="Times New Roman" w:hAnsi="Times New Roman" w:cs="Times New Roman"/>
        </w:rPr>
        <w:t xml:space="preserve"> From protests and marches to petitions and strikes to </w:t>
      </w:r>
      <w:r w:rsidR="00B950B5">
        <w:rPr>
          <w:rFonts w:ascii="Times New Roman" w:hAnsi="Times New Roman" w:cs="Times New Roman"/>
        </w:rPr>
        <w:t>mutual aid and community associations, immigrants with and without documents have engaged in civic and political participation in the United States for decades. This participation has laid the groundwork for staking a claim to belonging and for further political action. For Rosaldo, it is guided by a telos aimed at inclusion as full citizens. However, that aim is not a necessary one. What I like about cultural citizenship is that it can represent an alternative to state incorporation.</w:t>
      </w:r>
    </w:p>
    <w:p w14:paraId="1B94A987" w14:textId="05610D08" w:rsidR="005C567C" w:rsidRDefault="00B950B5" w:rsidP="00B950B5">
      <w:pPr>
        <w:spacing w:after="0" w:line="480" w:lineRule="auto"/>
        <w:rPr>
          <w:rFonts w:ascii="Times New Roman" w:hAnsi="Times New Roman" w:cs="Times New Roman"/>
        </w:rPr>
      </w:pPr>
      <w:r>
        <w:rPr>
          <w:rFonts w:ascii="Times New Roman" w:hAnsi="Times New Roman" w:cs="Times New Roman"/>
        </w:rPr>
        <w:lastRenderedPageBreak/>
        <w:tab/>
      </w:r>
      <w:r w:rsidR="005C567C">
        <w:rPr>
          <w:rFonts w:ascii="Times New Roman" w:hAnsi="Times New Roman" w:cs="Times New Roman"/>
        </w:rPr>
        <w:t>Returning to the context of reentry</w:t>
      </w:r>
      <w:r w:rsidR="005C567C" w:rsidRPr="005C567C">
        <w:rPr>
          <w:rFonts w:ascii="Times New Roman" w:hAnsi="Times New Roman" w:cs="Times New Roman"/>
        </w:rPr>
        <w:t>, rather than viewing “social death” as an endpoint, we can understand it as opening out onto other possibilities</w:t>
      </w:r>
      <w:r w:rsidR="005C567C">
        <w:rPr>
          <w:rFonts w:ascii="Times New Roman" w:hAnsi="Times New Roman" w:cs="Times New Roman"/>
        </w:rPr>
        <w:t xml:space="preserve"> for civic involvement. In his interview, Mangual illustrates what these possibilities might be and how they benefitted him. </w:t>
      </w:r>
      <w:r w:rsidR="00EF2869">
        <w:rPr>
          <w:rFonts w:ascii="Times New Roman" w:hAnsi="Times New Roman" w:cs="Times New Roman"/>
        </w:rPr>
        <w:t>Early in his incarceration, he was introduced to the “Nontraditional Approach to Criminal and Social Justice” developed by Eddie Ellis</w:t>
      </w:r>
      <w:r w:rsidR="009F6C88">
        <w:rPr>
          <w:rFonts w:ascii="Times New Roman" w:hAnsi="Times New Roman" w:cs="Times New Roman"/>
        </w:rPr>
        <w:t>, Larry White,</w:t>
      </w:r>
      <w:r w:rsidR="00EF2869">
        <w:rPr>
          <w:rFonts w:ascii="Times New Roman" w:hAnsi="Times New Roman" w:cs="Times New Roman"/>
        </w:rPr>
        <w:t xml:space="preserve"> and other survivors of the 1971 Attica Rebellion</w:t>
      </w:r>
      <w:r w:rsidR="009F6C88">
        <w:rPr>
          <w:rFonts w:ascii="Times New Roman" w:hAnsi="Times New Roman" w:cs="Times New Roman"/>
        </w:rPr>
        <w:t>. The Non-Traditional Approach emerged within New York prisons in the 1980s from question posing about “the escalating cycle of social poverty and crime.” The Approach seeks to integrate individual offender treatment with an analysis of socio-economic and political discrimination. It stresses the importance of building and maintaining connections between incarcerated humans and their communities of origin. Rather than emphasizing “rehabilitation,” it emphasizes “empowerment.”</w:t>
      </w:r>
      <w:r w:rsidR="009F6C88">
        <w:rPr>
          <w:rStyle w:val="FootnoteReference"/>
          <w:rFonts w:ascii="Times New Roman" w:hAnsi="Times New Roman" w:cs="Times New Roman"/>
        </w:rPr>
        <w:footnoteReference w:id="33"/>
      </w:r>
    </w:p>
    <w:p w14:paraId="2E900793" w14:textId="5D35E2CC" w:rsidR="005C567C" w:rsidRDefault="009F6C88" w:rsidP="00E0499D">
      <w:pPr>
        <w:spacing w:after="0" w:line="480" w:lineRule="auto"/>
        <w:ind w:left="720" w:right="720"/>
        <w:rPr>
          <w:rFonts w:ascii="Times New Roman" w:hAnsi="Times New Roman" w:cs="Times New Roman"/>
        </w:rPr>
      </w:pPr>
      <w:r>
        <w:rPr>
          <w:rFonts w:ascii="Times New Roman" w:hAnsi="Times New Roman" w:cs="Times New Roman"/>
        </w:rPr>
        <w:t>I was doing a lot of organizing, a lot of reading</w:t>
      </w:r>
      <w:r w:rsidR="00E0499D">
        <w:rPr>
          <w:rFonts w:ascii="Times New Roman" w:hAnsi="Times New Roman" w:cs="Times New Roman"/>
        </w:rPr>
        <w:t>, writing, a lot of self-reflecting, a lot of taking accountability, a lot of therapy. I did a lot of cognitive-behavioral therapy while I was incarcerated, both as a person who needed therapy and as a peer educator in therapy. So, by the time I got to the box at Upstate, I had all of this behind me. I had a lot of support, community support. I was part of a class action law suit.</w:t>
      </w:r>
    </w:p>
    <w:p w14:paraId="075C8101" w14:textId="77777777" w:rsidR="001157CF" w:rsidRDefault="00E0499D" w:rsidP="00B950B5">
      <w:pPr>
        <w:spacing w:after="0" w:line="480" w:lineRule="auto"/>
        <w:rPr>
          <w:rFonts w:ascii="Times New Roman" w:hAnsi="Times New Roman" w:cs="Times New Roman"/>
        </w:rPr>
      </w:pPr>
      <w:r>
        <w:rPr>
          <w:rFonts w:ascii="Times New Roman" w:hAnsi="Times New Roman" w:cs="Times New Roman"/>
        </w:rPr>
        <w:t>Central to the Non-Traditional Approach are three themes: Crime Generative Attitudes, Ethnic States and Identity, and Sense of Community (see Figure 4). Mangual’s extensive work while incarcerated included becoming a peer educator, a health educator, and an American Sign Language interpreter as well as participating in restorative justice circles through which he and other prisoners held each other accountable for their actions.</w:t>
      </w:r>
    </w:p>
    <w:p w14:paraId="0C9548BB" w14:textId="1E8EE53E" w:rsidR="00E0499D" w:rsidRDefault="001157CF" w:rsidP="001157CF">
      <w:pPr>
        <w:spacing w:after="0" w:line="480" w:lineRule="auto"/>
        <w:ind w:firstLine="720"/>
        <w:rPr>
          <w:rFonts w:ascii="Times New Roman" w:hAnsi="Times New Roman" w:cs="Times New Roman"/>
        </w:rPr>
      </w:pPr>
      <w:r>
        <w:rPr>
          <w:rFonts w:ascii="Times New Roman" w:hAnsi="Times New Roman" w:cs="Times New Roman"/>
        </w:rPr>
        <w:lastRenderedPageBreak/>
        <w:t>Mangual’s own characterization of the Non-Traditional Approach is as a model</w:t>
      </w:r>
      <w:r w:rsidR="00AC057F">
        <w:rPr>
          <w:rFonts w:ascii="Times New Roman" w:hAnsi="Times New Roman" w:cs="Times New Roman"/>
        </w:rPr>
        <w:t xml:space="preserve"> of empowerment through social justice and transformation</w:t>
      </w:r>
      <w:r>
        <w:rPr>
          <w:rFonts w:ascii="Times New Roman" w:hAnsi="Times New Roman" w:cs="Times New Roman"/>
        </w:rPr>
        <w:t>:</w:t>
      </w:r>
    </w:p>
    <w:p w14:paraId="13BF61B2" w14:textId="10F0DD8E" w:rsidR="001157CF" w:rsidRDefault="001157CF" w:rsidP="00AC057F">
      <w:pPr>
        <w:spacing w:after="0" w:line="480" w:lineRule="auto"/>
        <w:ind w:left="720" w:right="720"/>
        <w:rPr>
          <w:rFonts w:ascii="Times New Roman" w:hAnsi="Times New Roman" w:cs="Times New Roman"/>
        </w:rPr>
      </w:pPr>
      <w:r>
        <w:rPr>
          <w:rFonts w:ascii="Times New Roman" w:hAnsi="Times New Roman" w:cs="Times New Roman"/>
        </w:rPr>
        <w:t xml:space="preserve">The package, the Non-Traditional Approach, it gave us a language. It gave us a sense of identity. It held us accountable through </w:t>
      </w:r>
      <w:r w:rsidR="00AC057F">
        <w:rPr>
          <w:rFonts w:ascii="Times New Roman" w:hAnsi="Times New Roman" w:cs="Times New Roman"/>
        </w:rPr>
        <w:t>. . .</w:t>
      </w:r>
      <w:r>
        <w:rPr>
          <w:rFonts w:ascii="Times New Roman" w:hAnsi="Times New Roman" w:cs="Times New Roman"/>
        </w:rPr>
        <w:t xml:space="preserve"> responsibility and reconciliation and atonement. It taught us that we were the experts—those who were inside—we were the experts in this because we lived it. And not just lived it, but we’re authentically transforming our lives and helping transform our communities and rebuild those places that we destroyed, when we went back.</w:t>
      </w:r>
    </w:p>
    <w:p w14:paraId="76A80A82" w14:textId="45439D89" w:rsidR="00CF53C7" w:rsidRPr="006C3914" w:rsidRDefault="001157CF" w:rsidP="001B1F5F">
      <w:pPr>
        <w:spacing w:after="0" w:line="480" w:lineRule="auto"/>
        <w:rPr>
          <w:rFonts w:ascii="Times New Roman" w:hAnsi="Times New Roman" w:cs="Times New Roman"/>
        </w:rPr>
      </w:pPr>
      <w:r>
        <w:rPr>
          <w:rFonts w:ascii="Times New Roman" w:hAnsi="Times New Roman" w:cs="Times New Roman"/>
        </w:rPr>
        <w:t xml:space="preserve"> </w:t>
      </w:r>
      <w:r w:rsidR="006C3914">
        <w:rPr>
          <w:rFonts w:ascii="Times New Roman" w:hAnsi="Times New Roman" w:cs="Times New Roman"/>
        </w:rPr>
        <w:t xml:space="preserve">In his account, this work prepared him for reentry and reintegration. But the empowerment work and political action that he took in prison didn’t make him appear ready for release from an institutional perspective. He was a plaintiff in multiple class action suits, including a voting rights case, </w:t>
      </w:r>
      <w:r w:rsidR="006C3914" w:rsidRPr="006C3914">
        <w:rPr>
          <w:rFonts w:ascii="Times New Roman" w:hAnsi="Times New Roman" w:cs="Times New Roman"/>
          <w:i/>
          <w:iCs/>
        </w:rPr>
        <w:t>Hayden v. Pataki</w:t>
      </w:r>
      <w:r w:rsidR="006C3914">
        <w:rPr>
          <w:rFonts w:ascii="Times New Roman" w:hAnsi="Times New Roman" w:cs="Times New Roman"/>
        </w:rPr>
        <w:t>. Participation in one of these, he felt, led to his 127-day stint in solitary</w:t>
      </w:r>
      <w:r w:rsidR="004D2FA7">
        <w:rPr>
          <w:rFonts w:ascii="Times New Roman" w:hAnsi="Times New Roman" w:cs="Times New Roman"/>
        </w:rPr>
        <w:t>, but he credits getting out of solitary to the connections to movement lawyers he forged during those cases. Even while in solitary, he found ways to communicate with other prisoners and to support each other through singing songs and passing notes.</w:t>
      </w:r>
    </w:p>
    <w:p w14:paraId="32E321D0" w14:textId="77777777" w:rsidR="004D2FA7" w:rsidRDefault="004D2FA7" w:rsidP="004D2FA7">
      <w:pPr>
        <w:spacing w:after="0" w:line="480" w:lineRule="auto"/>
        <w:ind w:firstLine="720"/>
        <w:rPr>
          <w:rFonts w:ascii="Times New Roman" w:hAnsi="Times New Roman" w:cs="Times New Roman"/>
        </w:rPr>
      </w:pPr>
      <w:r>
        <w:rPr>
          <w:rFonts w:ascii="Times New Roman" w:hAnsi="Times New Roman" w:cs="Times New Roman"/>
        </w:rPr>
        <w:t>After being turned away from transitional housing upon his release, he turned to his community again. His mother and sister were dead and his remaining sister was herself in a halfway house. But connections he had made with other prisoners and former prisoners through the Non-Traditional Approach enabled him to find both housing and employment. For eleven and a half years, he worked as a health educator. For the first three years, he was still on parole, working within unhoused and formerly incarcerated people many of whom were on parole themselves. His eventual position with Latino Justice also stemmed from connections he made during his incarceration.</w:t>
      </w:r>
    </w:p>
    <w:p w14:paraId="42210E43" w14:textId="77777777" w:rsidR="00744305" w:rsidRDefault="004D2FA7" w:rsidP="00744305">
      <w:pPr>
        <w:spacing w:after="0" w:line="480" w:lineRule="auto"/>
        <w:ind w:firstLine="720"/>
        <w:rPr>
          <w:rFonts w:ascii="Times New Roman" w:hAnsi="Times New Roman" w:cs="Times New Roman"/>
        </w:rPr>
      </w:pPr>
      <w:r>
        <w:rPr>
          <w:rFonts w:ascii="Times New Roman" w:hAnsi="Times New Roman" w:cs="Times New Roman"/>
        </w:rPr>
        <w:lastRenderedPageBreak/>
        <w:t xml:space="preserve">Traditional approaches to reentry focus on the roles of criminal justice and mental health professionals and social workers in rehabilitating people in custodial supervision. The Non-Traditional Approach centers incarcerated and formerly incarcerated people themselves as the important agents in the empowerment of themselves, each other, and their communities. And yet, although we know anecdotally that many formerly incarcerated people find careers working with reentry services </w:t>
      </w:r>
      <w:r w:rsidR="00DD09FD">
        <w:rPr>
          <w:rFonts w:ascii="Times New Roman" w:hAnsi="Times New Roman" w:cs="Times New Roman"/>
        </w:rPr>
        <w:t>and substance abuse treatment, there has been little research on their contributions to helping others reintegrate with society and to avoid rearrest.</w:t>
      </w:r>
      <w:r w:rsidR="00DD09FD">
        <w:rPr>
          <w:rStyle w:val="FootnoteReference"/>
          <w:rFonts w:ascii="Times New Roman" w:hAnsi="Times New Roman" w:cs="Times New Roman"/>
        </w:rPr>
        <w:footnoteReference w:id="34"/>
      </w:r>
      <w:r w:rsidR="00744305">
        <w:rPr>
          <w:rFonts w:ascii="Times New Roman" w:hAnsi="Times New Roman" w:cs="Times New Roman"/>
        </w:rPr>
        <w:t xml:space="preserve"> </w:t>
      </w:r>
      <w:r w:rsidR="00DD09FD">
        <w:rPr>
          <w:rFonts w:ascii="Times New Roman" w:hAnsi="Times New Roman" w:cs="Times New Roman"/>
        </w:rPr>
        <w:t>But the formerly incarcerated have not waited for researchers to catch up. An archipelago of nonprofits and service organizations exist across the United States, many founded by the formerly incarcerated. One network of these comes together as the Formerly Incarcerated and Convicted People and Families Movement (FICPFM) (Figure 5)</w:t>
      </w:r>
      <w:r w:rsidR="00080441">
        <w:rPr>
          <w:rFonts w:ascii="Times New Roman" w:hAnsi="Times New Roman" w:cs="Times New Roman"/>
        </w:rPr>
        <w:t>.</w:t>
      </w:r>
      <w:r w:rsidR="00744305">
        <w:rPr>
          <w:rFonts w:ascii="Times New Roman" w:hAnsi="Times New Roman" w:cs="Times New Roman"/>
        </w:rPr>
        <w:t xml:space="preserve"> Mangual says that through everything, it was his community that helped him stay out of prison after reentry:</w:t>
      </w:r>
    </w:p>
    <w:p w14:paraId="267D1509" w14:textId="4F88E350" w:rsidR="00CF53C7" w:rsidRDefault="00744305" w:rsidP="00744305">
      <w:pPr>
        <w:spacing w:after="0" w:line="480" w:lineRule="auto"/>
        <w:ind w:left="720" w:right="720"/>
        <w:rPr>
          <w:rFonts w:ascii="Times New Roman" w:hAnsi="Times New Roman" w:cs="Times New Roman"/>
        </w:rPr>
      </w:pPr>
      <w:r>
        <w:rPr>
          <w:rFonts w:ascii="Times New Roman" w:hAnsi="Times New Roman" w:cs="Times New Roman"/>
        </w:rPr>
        <w:t xml:space="preserve">It was my community. It was my family, who I call family, the folks I met with while I was incarcerated that I’m still connected to. It was all of those folks who were there for me. And, it was my training and my realizing and understanding that there was just no way I was gonna to do anything to risk my freedom again. Because it wasn’t just my freedom. I’m responsible and accountable to my community. I’m responsible and accountable to my mentors, to my mom. </w:t>
      </w:r>
    </w:p>
    <w:p w14:paraId="5A6B4172" w14:textId="493E1178" w:rsidR="00744305" w:rsidRDefault="00744305" w:rsidP="001B1F5F">
      <w:pPr>
        <w:spacing w:after="0" w:line="480" w:lineRule="auto"/>
        <w:rPr>
          <w:rFonts w:ascii="Times New Roman" w:hAnsi="Times New Roman" w:cs="Times New Roman"/>
        </w:rPr>
      </w:pPr>
      <w:r>
        <w:rPr>
          <w:rFonts w:ascii="Times New Roman" w:hAnsi="Times New Roman" w:cs="Times New Roman"/>
        </w:rPr>
        <w:t>After I pressed him on what helped him to succeed when so many fail despite their efforts</w:t>
      </w:r>
      <w:r w:rsidR="00CD140A">
        <w:rPr>
          <w:rFonts w:ascii="Times New Roman" w:hAnsi="Times New Roman" w:cs="Times New Roman"/>
        </w:rPr>
        <w:t xml:space="preserve">, he said, “My biggest support is folks like me. Folks who are formerly incarcerated, folks who are going through it, like me. Folks who are directly impacted. Families of the formerly incarcerated. Advocates who understand what it is to go through this kind of reentry and reintegration from a </w:t>
      </w:r>
      <w:r w:rsidR="00CD140A">
        <w:rPr>
          <w:rFonts w:ascii="Times New Roman" w:hAnsi="Times New Roman" w:cs="Times New Roman"/>
        </w:rPr>
        <w:lastRenderedPageBreak/>
        <w:t xml:space="preserve">traumatic experience and carrying this felony conviction.” Reentry from prison isn’t easy under the best of circumstances. By foreclosing opportunities for civic participation, by imposing social death on the formerly incarcerated, by punishing them for forming community with others like them, and by demonizing their political participation, our criminal legal system betrays </w:t>
      </w:r>
      <w:proofErr w:type="gramStart"/>
      <w:r w:rsidR="00CD140A">
        <w:rPr>
          <w:rFonts w:ascii="Times New Roman" w:hAnsi="Times New Roman" w:cs="Times New Roman"/>
        </w:rPr>
        <w:t>an</w:t>
      </w:r>
      <w:proofErr w:type="gramEnd"/>
      <w:r w:rsidR="00CD140A">
        <w:rPr>
          <w:rFonts w:ascii="Times New Roman" w:hAnsi="Times New Roman" w:cs="Times New Roman"/>
        </w:rPr>
        <w:t xml:space="preserve"> preference for preserving social inequality over expanding democracy.</w:t>
      </w:r>
    </w:p>
    <w:p w14:paraId="367CC85E" w14:textId="49158A66" w:rsidR="00FC31E7" w:rsidRDefault="00FC31E7" w:rsidP="001B1F5F">
      <w:pPr>
        <w:spacing w:after="0" w:line="480" w:lineRule="auto"/>
        <w:rPr>
          <w:rFonts w:ascii="Times New Roman" w:hAnsi="Times New Roman" w:cs="Times New Roman"/>
        </w:rPr>
      </w:pPr>
      <w:r>
        <w:rPr>
          <w:rFonts w:ascii="Times New Roman" w:hAnsi="Times New Roman" w:cs="Times New Roman"/>
        </w:rPr>
        <w:br w:type="page"/>
      </w:r>
    </w:p>
    <w:p w14:paraId="052D7695" w14:textId="77777777" w:rsidR="00DF6A9B" w:rsidRDefault="00FC31E7" w:rsidP="00DF6A9B">
      <w:pPr>
        <w:keepNext/>
      </w:pPr>
      <w:r>
        <w:rPr>
          <w:noProof/>
        </w:rPr>
        <w:lastRenderedPageBreak/>
        <w:drawing>
          <wp:inline distT="0" distB="0" distL="0" distR="0" wp14:anchorId="5981D15F" wp14:editId="3F5E197E">
            <wp:extent cx="5943600" cy="4160520"/>
            <wp:effectExtent l="0" t="0" r="0" b="5080"/>
            <wp:docPr id="1131059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59379" name="Picture 11310593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7191EB17" w14:textId="4AB80718" w:rsidR="00FC31E7" w:rsidRDefault="00DF6A9B" w:rsidP="00DF6A9B">
      <w:pPr>
        <w:pStyle w:val="Caption"/>
      </w:pPr>
      <w:r>
        <w:t xml:space="preserve">Figure </w:t>
      </w:r>
      <w:fldSimple w:instr=" SEQ Figure \* ARABIC ">
        <w:r w:rsidR="00DD09FD">
          <w:rPr>
            <w:noProof/>
          </w:rPr>
          <w:t>1</w:t>
        </w:r>
      </w:fldSimple>
    </w:p>
    <w:p w14:paraId="326875D4" w14:textId="77777777" w:rsidR="00DF6A9B" w:rsidRDefault="00DF6A9B" w:rsidP="00DF6A9B">
      <w:pPr>
        <w:keepNext/>
      </w:pPr>
    </w:p>
    <w:p w14:paraId="29F8BCD3" w14:textId="77777777" w:rsidR="00DF6A9B" w:rsidRDefault="00DF6A9B" w:rsidP="00DF6A9B">
      <w:pPr>
        <w:keepNext/>
      </w:pPr>
      <w:r w:rsidRPr="00DF6A9B">
        <w:rPr>
          <w:noProof/>
        </w:rPr>
        <w:drawing>
          <wp:inline distT="0" distB="0" distL="0" distR="0" wp14:anchorId="41FCBCEC" wp14:editId="17E87950">
            <wp:extent cx="5403366" cy="3274219"/>
            <wp:effectExtent l="0" t="0" r="0" b="2540"/>
            <wp:docPr id="2" name="Picture 1" descr="A screenshot of a document&#10;&#10;Description automatically generated">
              <a:extLst xmlns:a="http://schemas.openxmlformats.org/drawingml/2006/main">
                <a:ext uri="{FF2B5EF4-FFF2-40B4-BE49-F238E27FC236}">
                  <a16:creationId xmlns:a16="http://schemas.microsoft.com/office/drawing/2014/main" id="{24FF0547-C622-4591-F36C-B73594BC5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document&#10;&#10;Description automatically generated">
                      <a:extLst>
                        <a:ext uri="{FF2B5EF4-FFF2-40B4-BE49-F238E27FC236}">
                          <a16:creationId xmlns:a16="http://schemas.microsoft.com/office/drawing/2014/main" id="{24FF0547-C622-4591-F36C-B73594BC5754}"/>
                        </a:ext>
                      </a:extLst>
                    </pic:cNvPr>
                    <pic:cNvPicPr>
                      <a:picLocks noChangeAspect="1"/>
                    </pic:cNvPicPr>
                  </pic:nvPicPr>
                  <pic:blipFill>
                    <a:blip r:embed="rId8"/>
                    <a:stretch>
                      <a:fillRect/>
                    </a:stretch>
                  </pic:blipFill>
                  <pic:spPr>
                    <a:xfrm>
                      <a:off x="0" y="0"/>
                      <a:ext cx="5403366" cy="3274219"/>
                    </a:xfrm>
                    <a:prstGeom prst="rect">
                      <a:avLst/>
                    </a:prstGeom>
                  </pic:spPr>
                </pic:pic>
              </a:graphicData>
            </a:graphic>
          </wp:inline>
        </w:drawing>
      </w:r>
    </w:p>
    <w:p w14:paraId="7937E77B" w14:textId="47E34FE4" w:rsidR="00DF6A9B" w:rsidRDefault="00DF6A9B" w:rsidP="00DF6A9B">
      <w:pPr>
        <w:pStyle w:val="Caption"/>
      </w:pPr>
      <w:r>
        <w:t xml:space="preserve">Figure </w:t>
      </w:r>
      <w:fldSimple w:instr=" SEQ Figure \* ARABIC ">
        <w:r w:rsidR="00DD09FD">
          <w:rPr>
            <w:noProof/>
          </w:rPr>
          <w:t>2</w:t>
        </w:r>
      </w:fldSimple>
    </w:p>
    <w:p w14:paraId="3BAB3956" w14:textId="77777777" w:rsidR="00DF6A9B" w:rsidRDefault="00DF6A9B" w:rsidP="00DF6A9B"/>
    <w:p w14:paraId="7C5FAB0F" w14:textId="77777777" w:rsidR="00DF6A9B" w:rsidRDefault="00DF6A9B" w:rsidP="00DF6A9B">
      <w:pPr>
        <w:keepNext/>
      </w:pPr>
      <w:r w:rsidRPr="00DF6A9B">
        <w:rPr>
          <w:noProof/>
        </w:rPr>
        <w:lastRenderedPageBreak/>
        <w:drawing>
          <wp:inline distT="0" distB="0" distL="0" distR="0" wp14:anchorId="49A7C095" wp14:editId="4393F383">
            <wp:extent cx="4496275" cy="4507025"/>
            <wp:effectExtent l="0" t="0" r="0" b="1905"/>
            <wp:docPr id="78535191" name="Google Shape;300;p48">
              <a:hlinkClick xmlns:a="http://schemas.openxmlformats.org/drawingml/2006/main" r:id="rId9"/>
              <a:extLst xmlns:a="http://schemas.openxmlformats.org/drawingml/2006/main">
                <a:ext uri="{FF2B5EF4-FFF2-40B4-BE49-F238E27FC236}">
                  <a16:creationId xmlns:a16="http://schemas.microsoft.com/office/drawing/2014/main" id="{17E53933-BCBB-2991-1B63-E4CC986BAC03}"/>
                </a:ext>
              </a:extLst>
            </wp:docPr>
            <wp:cNvGraphicFramePr/>
            <a:graphic xmlns:a="http://schemas.openxmlformats.org/drawingml/2006/main">
              <a:graphicData uri="http://schemas.openxmlformats.org/drawingml/2006/picture">
                <pic:pic xmlns:pic="http://schemas.openxmlformats.org/drawingml/2006/picture">
                  <pic:nvPicPr>
                    <pic:cNvPr id="2" name="Google Shape;300;p48">
                      <a:hlinkClick r:id="rId9"/>
                      <a:extLst>
                        <a:ext uri="{FF2B5EF4-FFF2-40B4-BE49-F238E27FC236}">
                          <a16:creationId xmlns:a16="http://schemas.microsoft.com/office/drawing/2014/main" id="{17E53933-BCBB-2991-1B63-E4CC986BAC03}"/>
                        </a:ext>
                      </a:extLst>
                    </pic:cNvPr>
                    <pic:cNvPicPr preferRelativeResize="0"/>
                  </pic:nvPicPr>
                  <pic:blipFill>
                    <a:blip r:embed="rId10">
                      <a:alphaModFix/>
                    </a:blip>
                    <a:stretch>
                      <a:fillRect/>
                    </a:stretch>
                  </pic:blipFill>
                  <pic:spPr>
                    <a:xfrm>
                      <a:off x="0" y="0"/>
                      <a:ext cx="4496275" cy="4507025"/>
                    </a:xfrm>
                    <a:prstGeom prst="rect">
                      <a:avLst/>
                    </a:prstGeom>
                    <a:noFill/>
                    <a:ln>
                      <a:noFill/>
                    </a:ln>
                  </pic:spPr>
                </pic:pic>
              </a:graphicData>
            </a:graphic>
          </wp:inline>
        </w:drawing>
      </w:r>
    </w:p>
    <w:p w14:paraId="1B5CC452" w14:textId="2D86FCDB" w:rsidR="00DF6A9B" w:rsidRDefault="00DF6A9B" w:rsidP="00DF6A9B">
      <w:pPr>
        <w:pStyle w:val="Caption"/>
      </w:pPr>
      <w:r>
        <w:t xml:space="preserve">Figure </w:t>
      </w:r>
      <w:fldSimple w:instr=" SEQ Figure \* ARABIC ">
        <w:r w:rsidR="00DD09FD">
          <w:rPr>
            <w:noProof/>
          </w:rPr>
          <w:t>3</w:t>
        </w:r>
      </w:fldSimple>
    </w:p>
    <w:p w14:paraId="3CF22B16" w14:textId="77777777" w:rsidR="00E0499D" w:rsidRDefault="00E0499D" w:rsidP="00E0499D"/>
    <w:p w14:paraId="29F0E8C4" w14:textId="77777777" w:rsidR="001157CF" w:rsidRDefault="001157CF" w:rsidP="001157CF">
      <w:pPr>
        <w:keepNext/>
      </w:pPr>
      <w:r>
        <w:rPr>
          <w:noProof/>
        </w:rPr>
        <w:lastRenderedPageBreak/>
        <w:drawing>
          <wp:inline distT="0" distB="0" distL="0" distR="0" wp14:anchorId="6FF9C40A" wp14:editId="51EFC3D9">
            <wp:extent cx="5943600" cy="7250430"/>
            <wp:effectExtent l="0" t="0" r="0" b="1270"/>
            <wp:docPr id="135130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02325" name="Picture 1351302325"/>
                    <pic:cNvPicPr/>
                  </pic:nvPicPr>
                  <pic:blipFill>
                    <a:blip r:embed="rId11">
                      <a:extLst>
                        <a:ext uri="{28A0092B-C50C-407E-A947-70E740481C1C}">
                          <a14:useLocalDpi xmlns:a14="http://schemas.microsoft.com/office/drawing/2010/main" val="0"/>
                        </a:ext>
                      </a:extLst>
                    </a:blip>
                    <a:stretch>
                      <a:fillRect/>
                    </a:stretch>
                  </pic:blipFill>
                  <pic:spPr>
                    <a:xfrm>
                      <a:off x="0" y="0"/>
                      <a:ext cx="5943600" cy="7250430"/>
                    </a:xfrm>
                    <a:prstGeom prst="rect">
                      <a:avLst/>
                    </a:prstGeom>
                  </pic:spPr>
                </pic:pic>
              </a:graphicData>
            </a:graphic>
          </wp:inline>
        </w:drawing>
      </w:r>
    </w:p>
    <w:p w14:paraId="1A5C8778" w14:textId="75AA682F" w:rsidR="00E0499D" w:rsidRDefault="001157CF" w:rsidP="001157CF">
      <w:pPr>
        <w:pStyle w:val="Caption"/>
      </w:pPr>
      <w:r>
        <w:t xml:space="preserve">Figure </w:t>
      </w:r>
      <w:fldSimple w:instr=" SEQ Figure \* ARABIC ">
        <w:r w:rsidR="00DD09FD">
          <w:rPr>
            <w:noProof/>
          </w:rPr>
          <w:t>4</w:t>
        </w:r>
      </w:fldSimple>
    </w:p>
    <w:p w14:paraId="4CE1EC51" w14:textId="77777777" w:rsidR="00DD09FD" w:rsidRDefault="00DD09FD" w:rsidP="00DD09FD"/>
    <w:p w14:paraId="00259598" w14:textId="77777777" w:rsidR="00DD09FD" w:rsidRDefault="00DD09FD" w:rsidP="00DD09FD">
      <w:pPr>
        <w:keepNext/>
      </w:pPr>
      <w:r>
        <w:rPr>
          <w:noProof/>
        </w:rPr>
        <w:lastRenderedPageBreak/>
        <w:drawing>
          <wp:inline distT="0" distB="0" distL="0" distR="0" wp14:anchorId="7217E22B" wp14:editId="3E2D8AFC">
            <wp:extent cx="5943600" cy="4620895"/>
            <wp:effectExtent l="0" t="0" r="0" b="1905"/>
            <wp:docPr id="18746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764" name="Picture 187467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20895"/>
                    </a:xfrm>
                    <a:prstGeom prst="rect">
                      <a:avLst/>
                    </a:prstGeom>
                  </pic:spPr>
                </pic:pic>
              </a:graphicData>
            </a:graphic>
          </wp:inline>
        </w:drawing>
      </w:r>
    </w:p>
    <w:p w14:paraId="79D75C63" w14:textId="6FAC1A30" w:rsidR="00DD09FD" w:rsidRPr="00DD09FD" w:rsidRDefault="00DD09FD" w:rsidP="00DD09FD">
      <w:pPr>
        <w:pStyle w:val="Caption"/>
      </w:pPr>
      <w:r>
        <w:t xml:space="preserve">Figure </w:t>
      </w:r>
      <w:fldSimple w:instr=" SEQ Figure \* ARABIC ">
        <w:r>
          <w:rPr>
            <w:noProof/>
          </w:rPr>
          <w:t>5</w:t>
        </w:r>
      </w:fldSimple>
    </w:p>
    <w:sectPr w:rsidR="00DD09FD" w:rsidRPr="00DD09FD" w:rsidSect="00497DA9">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79956" w14:textId="77777777" w:rsidR="00D66B95" w:rsidRDefault="00D66B95" w:rsidP="00AD448D">
      <w:pPr>
        <w:spacing w:after="0" w:line="240" w:lineRule="auto"/>
      </w:pPr>
      <w:r>
        <w:separator/>
      </w:r>
    </w:p>
  </w:endnote>
  <w:endnote w:type="continuationSeparator" w:id="0">
    <w:p w14:paraId="03EA5472" w14:textId="77777777" w:rsidR="00D66B95" w:rsidRDefault="00D66B95" w:rsidP="00AD4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A9992" w14:textId="77777777" w:rsidR="00D66B95" w:rsidRDefault="00D66B95" w:rsidP="00AD448D">
      <w:pPr>
        <w:spacing w:after="0" w:line="240" w:lineRule="auto"/>
      </w:pPr>
      <w:r>
        <w:separator/>
      </w:r>
    </w:p>
  </w:footnote>
  <w:footnote w:type="continuationSeparator" w:id="0">
    <w:p w14:paraId="2A828A02" w14:textId="77777777" w:rsidR="00D66B95" w:rsidRDefault="00D66B95" w:rsidP="00AD448D">
      <w:pPr>
        <w:spacing w:after="0" w:line="240" w:lineRule="auto"/>
      </w:pPr>
      <w:r>
        <w:continuationSeparator/>
      </w:r>
    </w:p>
  </w:footnote>
  <w:footnote w:id="1">
    <w:p w14:paraId="5358418E" w14:textId="77777777" w:rsidR="00171B10" w:rsidRPr="00DD09FD" w:rsidRDefault="00171B10" w:rsidP="00171B10">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National Research Council, The Growth of Incarceration in the United States: Exploring Causes and Consequences, 2, (2014). This figure circulated widely in the 2010s, making it into the talking points of Hillary Rodham Clinton’s presidential campaign. See Lee, M. Y. H. (2015), Does the United States really have 5 percent of the world’s population and one quarter of the world’s prisoners? </w:t>
      </w:r>
      <w:r w:rsidRPr="00DD09FD">
        <w:rPr>
          <w:rFonts w:ascii="Times New Roman" w:hAnsi="Times New Roman" w:cs="Times New Roman"/>
          <w:i/>
          <w:iCs/>
        </w:rPr>
        <w:t>The Washington Post</w:t>
      </w:r>
      <w:r w:rsidRPr="00DD09FD">
        <w:rPr>
          <w:rFonts w:ascii="Times New Roman" w:hAnsi="Times New Roman" w:cs="Times New Roman"/>
        </w:rPr>
        <w:t>, April 30; Office of Hillary Rodham Clinton, Criminal justice reform, https://www.hillaryclinton.com/issues/criminal-justice-reform/ (accessed November 13, 2023).</w:t>
      </w:r>
    </w:p>
  </w:footnote>
  <w:footnote w:id="2">
    <w:p w14:paraId="7BD7CE9B" w14:textId="77777777" w:rsidR="00171B10" w:rsidRPr="00DD09FD" w:rsidRDefault="00171B10" w:rsidP="00171B10">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w:t>
      </w:r>
      <w:r w:rsidRPr="00DD09FD">
        <w:rPr>
          <w:rFonts w:ascii="Times New Roman" w:hAnsi="Times New Roman" w:cs="Times New Roman"/>
          <w:i/>
          <w:iCs/>
        </w:rPr>
        <w:t>See</w:t>
      </w:r>
      <w:r w:rsidRPr="00DD09FD">
        <w:rPr>
          <w:rFonts w:ascii="Times New Roman" w:hAnsi="Times New Roman" w:cs="Times New Roman"/>
        </w:rPr>
        <w:t xml:space="preserve"> Porter, N. D. (2014), </w:t>
      </w:r>
      <w:r w:rsidRPr="00DD09FD">
        <w:rPr>
          <w:rFonts w:ascii="Times New Roman" w:hAnsi="Times New Roman" w:cs="Times New Roman"/>
          <w:i/>
          <w:iCs/>
        </w:rPr>
        <w:t>The state of sentencing 2013: Developments in policy and practice</w:t>
      </w:r>
      <w:r w:rsidRPr="00DD09FD">
        <w:rPr>
          <w:rFonts w:ascii="Times New Roman" w:hAnsi="Times New Roman" w:cs="Times New Roman"/>
        </w:rPr>
        <w:t>, The Sentencing Project.</w:t>
      </w:r>
    </w:p>
  </w:footnote>
  <w:footnote w:id="3">
    <w:p w14:paraId="066486A1" w14:textId="5E1CFAC8" w:rsidR="00171B10" w:rsidRPr="00DD09FD" w:rsidRDefault="00171B10" w:rsidP="00171B10">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See Blumstein, A., and Nagin, D. (1978), On the optimum use of incarceration for crime control, </w:t>
      </w:r>
      <w:r w:rsidRPr="00DD09FD">
        <w:rPr>
          <w:rFonts w:ascii="Times New Roman" w:hAnsi="Times New Roman" w:cs="Times New Roman"/>
          <w:i/>
          <w:iCs/>
        </w:rPr>
        <w:t>Operations Research, 26</w:t>
      </w:r>
      <w:r w:rsidRPr="00DD09FD">
        <w:rPr>
          <w:rFonts w:ascii="Times New Roman" w:hAnsi="Times New Roman" w:cs="Times New Roman"/>
        </w:rPr>
        <w:t xml:space="preserve">(3), 381–405, </w:t>
      </w:r>
      <w:hyperlink r:id="rId1" w:history="1">
        <w:r w:rsidRPr="00DD09FD">
          <w:rPr>
            <w:rStyle w:val="Hyperlink"/>
            <w:rFonts w:ascii="Times New Roman" w:hAnsi="Times New Roman" w:cs="Times New Roman"/>
          </w:rPr>
          <w:t>http://www.jstor.org/stable/169751</w:t>
        </w:r>
      </w:hyperlink>
      <w:r w:rsidRPr="00DD09FD">
        <w:rPr>
          <w:rFonts w:ascii="Times New Roman" w:hAnsi="Times New Roman" w:cs="Times New Roman"/>
        </w:rPr>
        <w:t xml:space="preserve">. See also Blumstein, A., and Cohen, J. (1973), A theory of the stability of punishment, </w:t>
      </w:r>
      <w:r w:rsidRPr="00DD09FD">
        <w:rPr>
          <w:rFonts w:ascii="Times New Roman" w:hAnsi="Times New Roman" w:cs="Times New Roman"/>
          <w:i/>
          <w:iCs/>
        </w:rPr>
        <w:t>Journal of Criminal Law and Criminology, 64</w:t>
      </w:r>
      <w:r w:rsidRPr="00DD09FD">
        <w:rPr>
          <w:rFonts w:ascii="Times New Roman" w:hAnsi="Times New Roman" w:cs="Times New Roman"/>
        </w:rPr>
        <w:t xml:space="preserve">(2), 198–207. </w:t>
      </w:r>
      <w:hyperlink r:id="rId2" w:history="1">
        <w:r w:rsidRPr="00DD09FD">
          <w:rPr>
            <w:rStyle w:val="Hyperlink"/>
            <w:rFonts w:ascii="Times New Roman" w:hAnsi="Times New Roman" w:cs="Times New Roman"/>
          </w:rPr>
          <w:t>https://doi.org/10.2307/1142990</w:t>
        </w:r>
      </w:hyperlink>
      <w:r w:rsidRPr="00DD09FD">
        <w:rPr>
          <w:rFonts w:ascii="Times New Roman" w:hAnsi="Times New Roman" w:cs="Times New Roman"/>
        </w:rPr>
        <w:t xml:space="preserve">; Blumstein, A., Cohen, J., and Nagin, D. (1977), The dynamics of a homeostatic punishment process, </w:t>
      </w:r>
      <w:r w:rsidRPr="00DD09FD">
        <w:rPr>
          <w:rFonts w:ascii="Times New Roman" w:hAnsi="Times New Roman" w:cs="Times New Roman"/>
          <w:i/>
          <w:iCs/>
        </w:rPr>
        <w:t>Journal of Criminal Law and Criminology, 67</w:t>
      </w:r>
      <w:r w:rsidRPr="00DD09FD">
        <w:rPr>
          <w:rFonts w:ascii="Times New Roman" w:hAnsi="Times New Roman" w:cs="Times New Roman"/>
        </w:rPr>
        <w:t xml:space="preserve">(3), 317–334, </w:t>
      </w:r>
      <w:hyperlink r:id="rId3" w:history="1">
        <w:r w:rsidRPr="00DD09FD">
          <w:rPr>
            <w:rStyle w:val="Hyperlink"/>
            <w:rFonts w:ascii="Times New Roman" w:hAnsi="Times New Roman" w:cs="Times New Roman"/>
          </w:rPr>
          <w:t>https://doi.org/10.2307/1142865</w:t>
        </w:r>
      </w:hyperlink>
      <w:r w:rsidRPr="00DD09FD">
        <w:rPr>
          <w:rFonts w:ascii="Times New Roman" w:hAnsi="Times New Roman" w:cs="Times New Roman"/>
        </w:rPr>
        <w:t>.</w:t>
      </w:r>
    </w:p>
  </w:footnote>
  <w:footnote w:id="4">
    <w:p w14:paraId="598D7706" w14:textId="77777777" w:rsidR="00171B10" w:rsidRPr="00DD09FD" w:rsidRDefault="00171B10" w:rsidP="00171B10">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See Cahalan, M. (1979), Trends in incarceration in the United States since 1880: A summary of reported rates and the distribution of offenses, </w:t>
      </w:r>
      <w:r w:rsidRPr="00DD09FD">
        <w:rPr>
          <w:rFonts w:ascii="Times New Roman" w:hAnsi="Times New Roman" w:cs="Times New Roman"/>
          <w:iCs/>
        </w:rPr>
        <w:t>Crime &amp; Delinquency</w:t>
      </w:r>
      <w:r w:rsidRPr="00DD09FD">
        <w:rPr>
          <w:rFonts w:ascii="Times New Roman" w:hAnsi="Times New Roman" w:cs="Times New Roman"/>
          <w:i/>
          <w:iCs/>
        </w:rPr>
        <w:t>, 25</w:t>
      </w:r>
      <w:r w:rsidRPr="00DD09FD">
        <w:rPr>
          <w:rFonts w:ascii="Times New Roman" w:hAnsi="Times New Roman" w:cs="Times New Roman"/>
        </w:rPr>
        <w:t xml:space="preserve">(1), 1–127, </w:t>
      </w:r>
      <w:hyperlink r:id="rId4" w:history="1">
        <w:r w:rsidRPr="00DD09FD">
          <w:rPr>
            <w:rStyle w:val="Hyperlink"/>
            <w:rFonts w:ascii="Times New Roman" w:hAnsi="Times New Roman" w:cs="Times New Roman"/>
          </w:rPr>
          <w:t>https://doi.org/10.1177/001112877902500102</w:t>
        </w:r>
      </w:hyperlink>
      <w:r w:rsidRPr="00DD09FD">
        <w:rPr>
          <w:rFonts w:ascii="Times New Roman" w:hAnsi="Times New Roman" w:cs="Times New Roman"/>
        </w:rPr>
        <w:t>.</w:t>
      </w:r>
    </w:p>
  </w:footnote>
  <w:footnote w:id="5">
    <w:p w14:paraId="0D1B5AB6" w14:textId="77777777" w:rsidR="00590886" w:rsidRPr="00DD09FD" w:rsidRDefault="00590886" w:rsidP="00590886">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Du Bois, W. E. B. (2021), </w:t>
      </w:r>
      <w:r w:rsidRPr="00DD09FD">
        <w:rPr>
          <w:rFonts w:ascii="Times New Roman" w:hAnsi="Times New Roman" w:cs="Times New Roman"/>
          <w:i/>
          <w:iCs/>
        </w:rPr>
        <w:t>Black reconstruction: An essay toward a history of the part which Black folk played in the attempt to reconstruct democracy in America, 1860-1880, &amp; other writings</w:t>
      </w:r>
      <w:r w:rsidRPr="00DD09FD">
        <w:rPr>
          <w:rFonts w:ascii="Times New Roman" w:hAnsi="Times New Roman" w:cs="Times New Roman"/>
        </w:rPr>
        <w:t xml:space="preserve"> (E. Foner &amp; H. L. Gates, Eds.), Library of America; Eric Foner, </w:t>
      </w:r>
      <w:r w:rsidRPr="00DD09FD">
        <w:rPr>
          <w:rFonts w:ascii="Times New Roman" w:hAnsi="Times New Roman" w:cs="Times New Roman"/>
          <w:i/>
          <w:iCs/>
        </w:rPr>
        <w:t>Reconstruction: America’s Unfinished Revolution, 1863-1877</w:t>
      </w:r>
      <w:r w:rsidRPr="00DD09FD">
        <w:rPr>
          <w:rFonts w:ascii="Times New Roman" w:hAnsi="Times New Roman" w:cs="Times New Roman"/>
        </w:rPr>
        <w:t xml:space="preserve"> (Updated ed. 2014); Ayers, E. L. (15</w:t>
      </w:r>
      <w:r w:rsidRPr="00DD09FD">
        <w:rPr>
          <w:rFonts w:ascii="Times New Roman" w:hAnsi="Times New Roman" w:cs="Times New Roman"/>
          <w:vertAlign w:val="superscript"/>
        </w:rPr>
        <w:t>th</w:t>
      </w:r>
      <w:r w:rsidRPr="00DD09FD">
        <w:rPr>
          <w:rFonts w:ascii="Times New Roman" w:hAnsi="Times New Roman" w:cs="Times New Roman"/>
        </w:rPr>
        <w:t xml:space="preserve"> </w:t>
      </w:r>
      <w:proofErr w:type="spellStart"/>
      <w:r w:rsidRPr="00DD09FD">
        <w:rPr>
          <w:rFonts w:ascii="Times New Roman" w:hAnsi="Times New Roman" w:cs="Times New Roman"/>
        </w:rPr>
        <w:t>anniv</w:t>
      </w:r>
      <w:proofErr w:type="spellEnd"/>
      <w:r w:rsidRPr="00DD09FD">
        <w:rPr>
          <w:rFonts w:ascii="Times New Roman" w:hAnsi="Times New Roman" w:cs="Times New Roman"/>
        </w:rPr>
        <w:t xml:space="preserve">. ed. 2023), </w:t>
      </w:r>
      <w:r w:rsidRPr="00DD09FD">
        <w:rPr>
          <w:rFonts w:ascii="Times New Roman" w:hAnsi="Times New Roman" w:cs="Times New Roman"/>
          <w:i/>
          <w:iCs/>
        </w:rPr>
        <w:t>The promise of the New South: Life after Reconstruction</w:t>
      </w:r>
      <w:r w:rsidRPr="00DD09FD">
        <w:rPr>
          <w:rFonts w:ascii="Times New Roman" w:hAnsi="Times New Roman" w:cs="Times New Roman"/>
        </w:rPr>
        <w:t xml:space="preserve">, Oxford University Press; Lemann, N. (2006), </w:t>
      </w:r>
      <w:r w:rsidRPr="00DD09FD">
        <w:rPr>
          <w:rFonts w:ascii="Times New Roman" w:hAnsi="Times New Roman" w:cs="Times New Roman"/>
          <w:i/>
          <w:iCs/>
        </w:rPr>
        <w:t>Redemption: the last battle of the Civil War</w:t>
      </w:r>
      <w:r w:rsidRPr="00DD09FD">
        <w:rPr>
          <w:rFonts w:ascii="Times New Roman" w:hAnsi="Times New Roman" w:cs="Times New Roman"/>
        </w:rPr>
        <w:t xml:space="preserve">, Farrar, Straus and Giroux; Franklin, J. H. (2013), </w:t>
      </w:r>
      <w:r w:rsidRPr="00DD09FD">
        <w:rPr>
          <w:rFonts w:ascii="Times New Roman" w:hAnsi="Times New Roman" w:cs="Times New Roman"/>
          <w:i/>
          <w:iCs/>
        </w:rPr>
        <w:t>Reconstruction after the Civil War</w:t>
      </w:r>
      <w:r w:rsidRPr="00DD09FD">
        <w:rPr>
          <w:rFonts w:ascii="Times New Roman" w:hAnsi="Times New Roman" w:cs="Times New Roman"/>
        </w:rPr>
        <w:t xml:space="preserve"> (3</w:t>
      </w:r>
      <w:r w:rsidRPr="00DD09FD">
        <w:rPr>
          <w:rFonts w:ascii="Times New Roman" w:hAnsi="Times New Roman" w:cs="Times New Roman"/>
          <w:vertAlign w:val="superscript"/>
        </w:rPr>
        <w:t>rd</w:t>
      </w:r>
      <w:r w:rsidRPr="00DD09FD">
        <w:rPr>
          <w:rFonts w:ascii="Times New Roman" w:hAnsi="Times New Roman" w:cs="Times New Roman"/>
        </w:rPr>
        <w:t xml:space="preserve"> ed.), University of Chicago </w:t>
      </w:r>
      <w:proofErr w:type="gramStart"/>
      <w:r w:rsidRPr="00DD09FD">
        <w:rPr>
          <w:rFonts w:ascii="Times New Roman" w:hAnsi="Times New Roman" w:cs="Times New Roman"/>
        </w:rPr>
        <w:t>Press;.</w:t>
      </w:r>
      <w:proofErr w:type="gramEnd"/>
    </w:p>
  </w:footnote>
  <w:footnote w:id="6">
    <w:p w14:paraId="6D73B8ED" w14:textId="77777777" w:rsidR="00590886" w:rsidRPr="00DD09FD" w:rsidRDefault="00590886" w:rsidP="00590886">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Litwack, L. F. (1979), </w:t>
      </w:r>
      <w:r w:rsidRPr="00DD09FD">
        <w:rPr>
          <w:rFonts w:ascii="Times New Roman" w:hAnsi="Times New Roman" w:cs="Times New Roman"/>
          <w:i/>
          <w:iCs/>
        </w:rPr>
        <w:t>Been in the storm so long: The aftermath of slavery</w:t>
      </w:r>
      <w:r w:rsidRPr="00DD09FD">
        <w:rPr>
          <w:rFonts w:ascii="Times New Roman" w:hAnsi="Times New Roman" w:cs="Times New Roman"/>
        </w:rPr>
        <w:t>, 502–556</w:t>
      </w:r>
    </w:p>
  </w:footnote>
  <w:footnote w:id="7">
    <w:p w14:paraId="0B8A60E0" w14:textId="77777777" w:rsidR="00590886" w:rsidRPr="00DD09FD" w:rsidRDefault="00590886" w:rsidP="00590886">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Equal Justice Initiative (2020), </w:t>
      </w:r>
      <w:r w:rsidRPr="00DD09FD">
        <w:rPr>
          <w:rFonts w:ascii="Times New Roman" w:hAnsi="Times New Roman" w:cs="Times New Roman"/>
          <w:i/>
          <w:iCs/>
        </w:rPr>
        <w:t>Reconstruction in America: Racial violence after the Civil War, 1865–1876</w:t>
      </w:r>
      <w:r w:rsidRPr="00DD09FD">
        <w:rPr>
          <w:rFonts w:ascii="Times New Roman" w:hAnsi="Times New Roman" w:cs="Times New Roman"/>
        </w:rPr>
        <w:t>, https://eji.org/report/reconstruction-in-america/</w:t>
      </w:r>
    </w:p>
  </w:footnote>
  <w:footnote w:id="8">
    <w:p w14:paraId="56B31FC1" w14:textId="77777777" w:rsidR="00590886" w:rsidRPr="00DD09FD" w:rsidRDefault="00590886" w:rsidP="00590886">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Rawley, J. S. (1960), The General Amnesty Act of 1872: A note, </w:t>
      </w:r>
      <w:r w:rsidRPr="00DD09FD">
        <w:rPr>
          <w:rFonts w:ascii="Times New Roman" w:hAnsi="Times New Roman" w:cs="Times New Roman"/>
          <w:i/>
          <w:iCs/>
        </w:rPr>
        <w:t>Journal of American History, 47</w:t>
      </w:r>
      <w:r w:rsidRPr="00DD09FD">
        <w:rPr>
          <w:rFonts w:ascii="Times New Roman" w:hAnsi="Times New Roman" w:cs="Times New Roman"/>
        </w:rPr>
        <w:t>, 480–84.</w:t>
      </w:r>
    </w:p>
  </w:footnote>
  <w:footnote w:id="9">
    <w:p w14:paraId="30D619AA" w14:textId="77777777" w:rsidR="00590886" w:rsidRPr="00DD09FD" w:rsidRDefault="00590886" w:rsidP="00472E83">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Perman, M. (2001), </w:t>
      </w:r>
      <w:r w:rsidRPr="00DD09FD">
        <w:rPr>
          <w:rFonts w:ascii="Times New Roman" w:hAnsi="Times New Roman" w:cs="Times New Roman"/>
          <w:i/>
          <w:iCs/>
        </w:rPr>
        <w:t>Struggle for mastery: Disenfranchisement in the South, 1888–1903</w:t>
      </w:r>
      <w:r w:rsidRPr="00DD09FD">
        <w:rPr>
          <w:rFonts w:ascii="Times New Roman" w:hAnsi="Times New Roman" w:cs="Times New Roman"/>
        </w:rPr>
        <w:t>, University</w:t>
      </w:r>
      <w:r w:rsidRPr="00DD09FD">
        <w:rPr>
          <w:rFonts w:ascii="Times New Roman" w:hAnsi="Times New Roman" w:cs="Times New Roman"/>
          <w:i/>
          <w:iCs/>
        </w:rPr>
        <w:t xml:space="preserve"> </w:t>
      </w:r>
      <w:r w:rsidRPr="00DD09FD">
        <w:rPr>
          <w:rFonts w:ascii="Times New Roman" w:hAnsi="Times New Roman" w:cs="Times New Roman"/>
        </w:rPr>
        <w:t>of North Carolina Press).</w:t>
      </w:r>
    </w:p>
  </w:footnote>
  <w:footnote w:id="10">
    <w:p w14:paraId="20A34D7A" w14:textId="2280BDE0" w:rsidR="00590886" w:rsidRPr="00DD09FD" w:rsidRDefault="00590886" w:rsidP="00472E83">
      <w:pPr>
        <w:pStyle w:val="FootnoteText"/>
        <w:rPr>
          <w:rFonts w:ascii="Times New Roman" w:hAnsi="Times New Roman" w:cs="Times New Roman"/>
          <w:i/>
          <w:iCs/>
        </w:rPr>
      </w:pPr>
      <w:r w:rsidRPr="00DD09FD">
        <w:rPr>
          <w:rStyle w:val="FootnoteReference"/>
          <w:rFonts w:ascii="Times New Roman" w:hAnsi="Times New Roman" w:cs="Times New Roman"/>
        </w:rPr>
        <w:footnoteRef/>
      </w:r>
      <w:r w:rsidRPr="00DD09FD">
        <w:rPr>
          <w:rFonts w:ascii="Times New Roman" w:hAnsi="Times New Roman" w:cs="Times New Roman"/>
        </w:rPr>
        <w:t xml:space="preserve"> Alexander, S. L. (2015), </w:t>
      </w:r>
      <w:r w:rsidRPr="00DD09FD">
        <w:rPr>
          <w:rFonts w:ascii="Times New Roman" w:hAnsi="Times New Roman" w:cs="Times New Roman"/>
          <w:i/>
          <w:iCs/>
        </w:rPr>
        <w:t>Reconstruction violence and the Ku Klux Klan Hearings</w:t>
      </w:r>
      <w:r w:rsidRPr="00DD09FD">
        <w:rPr>
          <w:rFonts w:ascii="Times New Roman" w:hAnsi="Times New Roman" w:cs="Times New Roman"/>
        </w:rPr>
        <w:t>, Bedford/St. Martins.</w:t>
      </w:r>
    </w:p>
  </w:footnote>
  <w:footnote w:id="11">
    <w:p w14:paraId="33DFF612" w14:textId="77777777" w:rsidR="00590886" w:rsidRPr="00DD09FD" w:rsidRDefault="00590886" w:rsidP="00472E83">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Equal Justice Initiative (2020), 48–49.</w:t>
      </w:r>
    </w:p>
  </w:footnote>
  <w:footnote w:id="12">
    <w:p w14:paraId="31EFE595" w14:textId="77777777" w:rsidR="00590886" w:rsidRPr="00DD09FD" w:rsidRDefault="00590886" w:rsidP="00472E83">
      <w:pPr>
        <w:spacing w:after="0" w:line="240" w:lineRule="auto"/>
        <w:rPr>
          <w:rFonts w:ascii="Times New Roman" w:hAnsi="Times New Roman" w:cs="Times New Roman"/>
          <w:sz w:val="20"/>
          <w:szCs w:val="20"/>
        </w:rPr>
      </w:pPr>
      <w:r w:rsidRPr="00DD09FD">
        <w:rPr>
          <w:rStyle w:val="FootnoteReference"/>
          <w:rFonts w:ascii="Times New Roman" w:hAnsi="Times New Roman" w:cs="Times New Roman"/>
          <w:sz w:val="20"/>
          <w:szCs w:val="20"/>
        </w:rPr>
        <w:footnoteRef/>
      </w:r>
      <w:r w:rsidRPr="00DD09FD">
        <w:rPr>
          <w:rFonts w:ascii="Times New Roman" w:hAnsi="Times New Roman" w:cs="Times New Roman"/>
          <w:sz w:val="20"/>
          <w:szCs w:val="20"/>
        </w:rPr>
        <w:t xml:space="preserve"> Rayford W. </w:t>
      </w:r>
      <w:r w:rsidRPr="00DD09FD">
        <w:rPr>
          <w:rFonts w:ascii="Times New Roman" w:hAnsi="Times New Roman" w:cs="Times New Roman"/>
          <w:color w:val="000000" w:themeColor="text1"/>
          <w:sz w:val="20"/>
          <w:szCs w:val="20"/>
        </w:rPr>
        <w:t>Logan, The Betrayal of the Negro,</w:t>
      </w:r>
      <w:r w:rsidRPr="00DD09FD">
        <w:rPr>
          <w:rFonts w:ascii="Times New Roman" w:hAnsi="Times New Roman" w:cs="Times New Roman"/>
          <w:sz w:val="20"/>
          <w:szCs w:val="20"/>
        </w:rPr>
        <w:t xml:space="preserve"> 88–104</w:t>
      </w:r>
      <w:r w:rsidRPr="00DD09FD">
        <w:rPr>
          <w:rFonts w:ascii="Times New Roman" w:hAnsi="Times New Roman" w:cs="Times New Roman"/>
          <w:color w:val="000000" w:themeColor="text1"/>
          <w:sz w:val="20"/>
          <w:szCs w:val="20"/>
        </w:rPr>
        <w:t xml:space="preserve"> (rev. ed. 1997)</w:t>
      </w:r>
      <w:r w:rsidRPr="00DD09FD">
        <w:rPr>
          <w:rFonts w:ascii="Times New Roman" w:hAnsi="Times New Roman" w:cs="Times New Roman"/>
          <w:sz w:val="20"/>
          <w:szCs w:val="20"/>
        </w:rPr>
        <w:t>.</w:t>
      </w:r>
    </w:p>
  </w:footnote>
  <w:footnote w:id="13">
    <w:p w14:paraId="5B476530" w14:textId="77777777" w:rsidR="00590886" w:rsidRPr="00DD09FD" w:rsidRDefault="00590886" w:rsidP="00472E83">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Equal Justice Initiative (2020), 48–49.</w:t>
      </w:r>
    </w:p>
  </w:footnote>
  <w:footnote w:id="14">
    <w:p w14:paraId="5D01B708" w14:textId="77777777" w:rsidR="00590886" w:rsidRPr="00DD09FD" w:rsidRDefault="00590886" w:rsidP="00472E83">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Equal Justice Initiative (2020), 49.</w:t>
      </w:r>
    </w:p>
  </w:footnote>
  <w:footnote w:id="15">
    <w:p w14:paraId="1DF472CC" w14:textId="77777777" w:rsidR="00590886" w:rsidRPr="00DD09FD" w:rsidRDefault="00590886" w:rsidP="00472E83">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Equal Justice Initiative (2020), 95. </w:t>
      </w:r>
    </w:p>
  </w:footnote>
  <w:footnote w:id="16">
    <w:p w14:paraId="5DF0EE60" w14:textId="375BFD88" w:rsidR="00BE703D" w:rsidRPr="00DD09FD" w:rsidRDefault="00BE703D">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Lisa M. Cacho, </w:t>
      </w:r>
      <w:r w:rsidRPr="00DD09FD">
        <w:rPr>
          <w:rFonts w:ascii="Times New Roman" w:hAnsi="Times New Roman" w:cs="Times New Roman"/>
          <w:i/>
          <w:iCs/>
        </w:rPr>
        <w:t>Social Death: Racialized Rightlessness and the Criminalization of the Unprotected</w:t>
      </w:r>
      <w:r w:rsidRPr="00DD09FD">
        <w:rPr>
          <w:rFonts w:ascii="Times New Roman" w:hAnsi="Times New Roman" w:cs="Times New Roman"/>
        </w:rPr>
        <w:t xml:space="preserve"> (2012); Dylan Rodríguez, </w:t>
      </w:r>
      <w:r w:rsidRPr="00DD09FD">
        <w:rPr>
          <w:rFonts w:ascii="Times New Roman" w:hAnsi="Times New Roman" w:cs="Times New Roman"/>
          <w:i/>
          <w:iCs/>
        </w:rPr>
        <w:t>Forced Passages: Imprisoned Radical Intellectuals and the U.S. Prison Regime</w:t>
      </w:r>
      <w:r w:rsidRPr="00DD09FD">
        <w:rPr>
          <w:rFonts w:ascii="Times New Roman" w:hAnsi="Times New Roman" w:cs="Times New Roman"/>
        </w:rPr>
        <w:t xml:space="preserve"> (2006). See also Orlando Patterson, </w:t>
      </w:r>
      <w:r w:rsidRPr="00DD09FD">
        <w:rPr>
          <w:rFonts w:ascii="Times New Roman" w:hAnsi="Times New Roman" w:cs="Times New Roman"/>
          <w:i/>
          <w:iCs/>
        </w:rPr>
        <w:t>Slavery and Social Death: A Comparative Study</w:t>
      </w:r>
      <w:r w:rsidRPr="00DD09FD">
        <w:rPr>
          <w:rFonts w:ascii="Times New Roman" w:hAnsi="Times New Roman" w:cs="Times New Roman"/>
        </w:rPr>
        <w:t xml:space="preserve"> (1982).</w:t>
      </w:r>
      <w:r w:rsidR="00D3750E" w:rsidRPr="00DD09FD">
        <w:rPr>
          <w:rFonts w:ascii="Times New Roman" w:hAnsi="Times New Roman" w:cs="Times New Roman"/>
        </w:rPr>
        <w:t xml:space="preserve"> </w:t>
      </w:r>
    </w:p>
  </w:footnote>
  <w:footnote w:id="17">
    <w:p w14:paraId="0761A407" w14:textId="3D150A0E" w:rsidR="00C50C4E" w:rsidRPr="00DD09FD" w:rsidRDefault="00C50C4E">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Kimberly Collica-Cox, “Civic Engagement for the Future Criminal Justice Professional: Serving the Underserved in a Correctional Setting,” 12(2), 10 </w:t>
      </w:r>
      <w:r w:rsidRPr="00DD09FD">
        <w:rPr>
          <w:rFonts w:ascii="Times New Roman" w:hAnsi="Times New Roman" w:cs="Times New Roman"/>
          <w:i/>
          <w:iCs/>
        </w:rPr>
        <w:t>Journal of Community Engagement and Scholarship</w:t>
      </w:r>
      <w:r w:rsidRPr="00DD09FD">
        <w:rPr>
          <w:rFonts w:ascii="Times New Roman" w:hAnsi="Times New Roman" w:cs="Times New Roman"/>
        </w:rPr>
        <w:t xml:space="preserve"> (2022).</w:t>
      </w:r>
    </w:p>
  </w:footnote>
  <w:footnote w:id="18">
    <w:p w14:paraId="1147364F" w14:textId="09EC1FDF" w:rsidR="00D3750E" w:rsidRPr="00DD09FD" w:rsidRDefault="00D3750E">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Keesha Middlemass, </w:t>
      </w:r>
      <w:r w:rsidRPr="00DD09FD">
        <w:rPr>
          <w:rFonts w:ascii="Times New Roman" w:hAnsi="Times New Roman" w:cs="Times New Roman"/>
          <w:i/>
          <w:iCs/>
        </w:rPr>
        <w:t>Convicted and Condemned: The Politics and Policies of Prisoner Reentry</w:t>
      </w:r>
      <w:r w:rsidRPr="00DD09FD">
        <w:rPr>
          <w:rFonts w:ascii="Times New Roman" w:hAnsi="Times New Roman" w:cs="Times New Roman"/>
        </w:rPr>
        <w:t xml:space="preserve"> (2017)</w:t>
      </w:r>
      <w:r w:rsidR="002C5780" w:rsidRPr="00DD09FD">
        <w:rPr>
          <w:rFonts w:ascii="Times New Roman" w:hAnsi="Times New Roman" w:cs="Times New Roman"/>
        </w:rPr>
        <w:t xml:space="preserve">; Keesha M. Middlemass &amp; Calvin John Smiley (eds.), </w:t>
      </w:r>
      <w:r w:rsidR="002C5780" w:rsidRPr="00DD09FD">
        <w:rPr>
          <w:rFonts w:ascii="Times New Roman" w:hAnsi="Times New Roman" w:cs="Times New Roman"/>
          <w:i/>
          <w:iCs/>
        </w:rPr>
        <w:t>Prisoner Reentry in the 21</w:t>
      </w:r>
      <w:r w:rsidR="002C5780" w:rsidRPr="00DD09FD">
        <w:rPr>
          <w:rFonts w:ascii="Times New Roman" w:hAnsi="Times New Roman" w:cs="Times New Roman"/>
          <w:i/>
          <w:iCs/>
          <w:vertAlign w:val="superscript"/>
        </w:rPr>
        <w:t>st</w:t>
      </w:r>
      <w:r w:rsidR="002C5780" w:rsidRPr="00DD09FD">
        <w:rPr>
          <w:rFonts w:ascii="Times New Roman" w:hAnsi="Times New Roman" w:cs="Times New Roman"/>
          <w:i/>
          <w:iCs/>
        </w:rPr>
        <w:t xml:space="preserve"> Century: Critical Perspectives of Returning Home</w:t>
      </w:r>
      <w:r w:rsidR="002C5780" w:rsidRPr="00DD09FD">
        <w:rPr>
          <w:rFonts w:ascii="Times New Roman" w:hAnsi="Times New Roman" w:cs="Times New Roman"/>
        </w:rPr>
        <w:t xml:space="preserve"> (2020).</w:t>
      </w:r>
    </w:p>
  </w:footnote>
  <w:footnote w:id="19">
    <w:p w14:paraId="42C412C6" w14:textId="293072CF" w:rsidR="002A3109" w:rsidRPr="00DD09FD" w:rsidRDefault="002A3109">
      <w:pPr>
        <w:pStyle w:val="FootnoteText"/>
        <w:rPr>
          <w:rFonts w:ascii="Times New Roman" w:hAnsi="Times New Roman" w:cs="Times New Roman"/>
          <w:i/>
          <w:iCs/>
        </w:rPr>
      </w:pPr>
      <w:r w:rsidRPr="00DD09FD">
        <w:rPr>
          <w:rStyle w:val="FootnoteReference"/>
          <w:rFonts w:ascii="Times New Roman" w:hAnsi="Times New Roman" w:cs="Times New Roman"/>
        </w:rPr>
        <w:footnoteRef/>
      </w:r>
      <w:r w:rsidRPr="00DD09FD">
        <w:rPr>
          <w:rFonts w:ascii="Times New Roman" w:hAnsi="Times New Roman" w:cs="Times New Roman"/>
        </w:rPr>
        <w:t xml:space="preserve"> Blair Ames, “NIJ-Funded Research Examines What Words for Successful Reentry,” 28</w:t>
      </w:r>
      <w:r w:rsidR="00D3750E" w:rsidRPr="00DD09FD">
        <w:rPr>
          <w:rFonts w:ascii="Times New Roman" w:hAnsi="Times New Roman" w:cs="Times New Roman"/>
        </w:rPr>
        <w:t>1</w:t>
      </w:r>
      <w:r w:rsidRPr="00DD09FD">
        <w:rPr>
          <w:rFonts w:ascii="Times New Roman" w:hAnsi="Times New Roman" w:cs="Times New Roman"/>
        </w:rPr>
        <w:t xml:space="preserve"> </w:t>
      </w:r>
      <w:r w:rsidRPr="00DD09FD">
        <w:rPr>
          <w:rFonts w:ascii="Times New Roman" w:hAnsi="Times New Roman" w:cs="Times New Roman"/>
          <w:i/>
          <w:iCs/>
        </w:rPr>
        <w:t>NIJ Journal</w:t>
      </w:r>
      <w:r w:rsidRPr="00DD09FD">
        <w:rPr>
          <w:rFonts w:ascii="Times New Roman" w:hAnsi="Times New Roman" w:cs="Times New Roman"/>
        </w:rPr>
        <w:t xml:space="preserve"> (2019)</w:t>
      </w:r>
      <w:r w:rsidR="00D3750E" w:rsidRPr="00DD09FD">
        <w:rPr>
          <w:rFonts w:ascii="Times New Roman" w:hAnsi="Times New Roman" w:cs="Times New Roman"/>
        </w:rPr>
        <w:t xml:space="preserve">; Jennifer L. Doleac, “Wrap-Around </w:t>
      </w:r>
      <w:proofErr w:type="spellStart"/>
      <w:r w:rsidR="00D3750E" w:rsidRPr="00DD09FD">
        <w:rPr>
          <w:rFonts w:ascii="Times New Roman" w:hAnsi="Times New Roman" w:cs="Times New Roman"/>
        </w:rPr>
        <w:t>Serivces</w:t>
      </w:r>
      <w:proofErr w:type="spellEnd"/>
      <w:r w:rsidR="00D3750E" w:rsidRPr="00DD09FD">
        <w:rPr>
          <w:rFonts w:ascii="Times New Roman" w:hAnsi="Times New Roman" w:cs="Times New Roman"/>
        </w:rPr>
        <w:t xml:space="preserve"> Don’t Improve Prisoner Reentry Outcomes,” 2, 508 </w:t>
      </w:r>
      <w:r w:rsidR="00D3750E" w:rsidRPr="00DD09FD">
        <w:rPr>
          <w:rFonts w:ascii="Times New Roman" w:hAnsi="Times New Roman" w:cs="Times New Roman"/>
          <w:i/>
          <w:iCs/>
        </w:rPr>
        <w:t xml:space="preserve">Journal of Policy Analysis and Management </w:t>
      </w:r>
      <w:r w:rsidR="00D3750E" w:rsidRPr="00DD09FD">
        <w:rPr>
          <w:rFonts w:ascii="Times New Roman" w:hAnsi="Times New Roman" w:cs="Times New Roman"/>
        </w:rPr>
        <w:t>(2019).</w:t>
      </w:r>
    </w:p>
  </w:footnote>
  <w:footnote w:id="20">
    <w:p w14:paraId="6BEA5A79" w14:textId="0E8AE12D" w:rsidR="002C5780" w:rsidRPr="00DD09FD" w:rsidRDefault="002C5780">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Thomas J. Mowen, Richard Stansfield, &amp; John H. Bowman IV, “Family Matters: Moving Beyond ‘If’ Family Support Matters to ‘Why’ Family Support Matters during Reentry from Prison” 56, 483 </w:t>
      </w:r>
      <w:r w:rsidRPr="00DD09FD">
        <w:rPr>
          <w:rFonts w:ascii="Times New Roman" w:hAnsi="Times New Roman" w:cs="Times New Roman"/>
          <w:i/>
          <w:iCs/>
        </w:rPr>
        <w:t xml:space="preserve">J </w:t>
      </w:r>
      <w:proofErr w:type="spellStart"/>
      <w:r w:rsidRPr="00DD09FD">
        <w:rPr>
          <w:rFonts w:ascii="Times New Roman" w:hAnsi="Times New Roman" w:cs="Times New Roman"/>
          <w:i/>
          <w:iCs/>
        </w:rPr>
        <w:t>Rs</w:t>
      </w:r>
      <w:r w:rsidR="00C50C4E" w:rsidRPr="00DD09FD">
        <w:rPr>
          <w:rFonts w:ascii="Times New Roman" w:hAnsi="Times New Roman" w:cs="Times New Roman"/>
          <w:i/>
          <w:iCs/>
        </w:rPr>
        <w:t>ch</w:t>
      </w:r>
      <w:proofErr w:type="spellEnd"/>
      <w:r w:rsidRPr="00DD09FD">
        <w:rPr>
          <w:rFonts w:ascii="Times New Roman" w:hAnsi="Times New Roman" w:cs="Times New Roman"/>
          <w:i/>
          <w:iCs/>
        </w:rPr>
        <w:t xml:space="preserve"> Crime </w:t>
      </w:r>
      <w:proofErr w:type="spellStart"/>
      <w:r w:rsidRPr="00DD09FD">
        <w:rPr>
          <w:rFonts w:ascii="Times New Roman" w:hAnsi="Times New Roman" w:cs="Times New Roman"/>
          <w:i/>
          <w:iCs/>
        </w:rPr>
        <w:t>Delinq</w:t>
      </w:r>
      <w:proofErr w:type="spellEnd"/>
      <w:r w:rsidR="00C50C4E" w:rsidRPr="00DD09FD">
        <w:rPr>
          <w:rFonts w:ascii="Times New Roman" w:hAnsi="Times New Roman" w:cs="Times New Roman"/>
        </w:rPr>
        <w:t xml:space="preserve"> (2018).</w:t>
      </w:r>
    </w:p>
  </w:footnote>
  <w:footnote w:id="21">
    <w:p w14:paraId="4D160ACF" w14:textId="295D8029" w:rsidR="00387F6B" w:rsidRPr="00DD09FD" w:rsidRDefault="00387F6B">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Gordon Bazemore &amp; Jeanne Stinchcomb, “A Civic Engagement Model of Reentry: Involving Community through Service and Restorative Justice” 68(2) </w:t>
      </w:r>
      <w:r w:rsidRPr="00DD09FD">
        <w:rPr>
          <w:rFonts w:ascii="Times New Roman" w:hAnsi="Times New Roman" w:cs="Times New Roman"/>
          <w:i/>
          <w:iCs/>
        </w:rPr>
        <w:t>Federal Probation: A Journal of Correctional Philosophy and Practice</w:t>
      </w:r>
      <w:r w:rsidRPr="00DD09FD">
        <w:rPr>
          <w:rFonts w:ascii="Times New Roman" w:hAnsi="Times New Roman" w:cs="Times New Roman"/>
        </w:rPr>
        <w:t xml:space="preserve"> (2004).</w:t>
      </w:r>
    </w:p>
  </w:footnote>
  <w:footnote w:id="22">
    <w:p w14:paraId="79475F32" w14:textId="5C685DAA" w:rsidR="00AD448D" w:rsidRPr="00DD09FD" w:rsidRDefault="00AD448D">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For much of this paper, I will focus on voting as a paradigmatic instance of democratic participation, albeit a limited one and perhaps not even the best measure, so I will return to considering other democratic forms further on. At this point, I will simply acknowledge that voting is an imperfect measure of democracy and ask for readers’ patience while I consider it.</w:t>
      </w:r>
    </w:p>
  </w:footnote>
  <w:footnote w:id="23">
    <w:p w14:paraId="51F34131" w14:textId="21E10CCD" w:rsidR="00AD448D" w:rsidRPr="00DD09FD" w:rsidRDefault="00AD448D">
      <w:pPr>
        <w:pStyle w:val="FootnoteText"/>
        <w:rPr>
          <w:rFonts w:ascii="Times New Roman" w:hAnsi="Times New Roman" w:cs="Times New Roman"/>
        </w:rPr>
      </w:pPr>
      <w:r w:rsidRPr="00DD09FD">
        <w:rPr>
          <w:rStyle w:val="FootnoteReference"/>
          <w:rFonts w:ascii="Times New Roman" w:hAnsi="Times New Roman" w:cs="Times New Roman"/>
        </w:rPr>
        <w:footnoteRef/>
      </w:r>
      <w:r w:rsidR="00716E38" w:rsidRPr="00DD09FD">
        <w:rPr>
          <w:rFonts w:ascii="Times New Roman" w:hAnsi="Times New Roman" w:cs="Times New Roman"/>
        </w:rPr>
        <w:t xml:space="preserve">Heather Ann Thompson, </w:t>
      </w:r>
      <w:r w:rsidR="00716E38" w:rsidRPr="00DD09FD">
        <w:rPr>
          <w:rFonts w:ascii="Times New Roman" w:hAnsi="Times New Roman" w:cs="Times New Roman"/>
          <w:i/>
          <w:iCs/>
        </w:rPr>
        <w:t xml:space="preserve">Blood </w:t>
      </w:r>
      <w:r w:rsidR="00472E83" w:rsidRPr="00DD09FD">
        <w:rPr>
          <w:rFonts w:ascii="Times New Roman" w:hAnsi="Times New Roman" w:cs="Times New Roman"/>
          <w:i/>
          <w:iCs/>
        </w:rPr>
        <w:t>i</w:t>
      </w:r>
      <w:r w:rsidR="00716E38" w:rsidRPr="00DD09FD">
        <w:rPr>
          <w:rFonts w:ascii="Times New Roman" w:hAnsi="Times New Roman" w:cs="Times New Roman"/>
          <w:i/>
          <w:iCs/>
        </w:rPr>
        <w:t xml:space="preserve">n </w:t>
      </w:r>
      <w:r w:rsidR="00472E83" w:rsidRPr="00DD09FD">
        <w:rPr>
          <w:rFonts w:ascii="Times New Roman" w:hAnsi="Times New Roman" w:cs="Times New Roman"/>
          <w:i/>
          <w:iCs/>
        </w:rPr>
        <w:t>t</w:t>
      </w:r>
      <w:r w:rsidR="00716E38" w:rsidRPr="00DD09FD">
        <w:rPr>
          <w:rFonts w:ascii="Times New Roman" w:hAnsi="Times New Roman" w:cs="Times New Roman"/>
          <w:i/>
          <w:iCs/>
        </w:rPr>
        <w:t xml:space="preserve">he Water: The Attica Prison Uprising Of 1971 </w:t>
      </w:r>
      <w:r w:rsidR="00472E83" w:rsidRPr="00DD09FD">
        <w:rPr>
          <w:rFonts w:ascii="Times New Roman" w:hAnsi="Times New Roman" w:cs="Times New Roman"/>
          <w:i/>
          <w:iCs/>
        </w:rPr>
        <w:t>a</w:t>
      </w:r>
      <w:r w:rsidR="00716E38" w:rsidRPr="00DD09FD">
        <w:rPr>
          <w:rFonts w:ascii="Times New Roman" w:hAnsi="Times New Roman" w:cs="Times New Roman"/>
          <w:i/>
          <w:iCs/>
        </w:rPr>
        <w:t>nd Its Legacy</w:t>
      </w:r>
      <w:r w:rsidRPr="00DD09FD">
        <w:rPr>
          <w:rFonts w:ascii="Times New Roman" w:hAnsi="Times New Roman" w:cs="Times New Roman"/>
        </w:rPr>
        <w:t xml:space="preserve"> (2016).</w:t>
      </w:r>
    </w:p>
  </w:footnote>
  <w:footnote w:id="24">
    <w:p w14:paraId="4A573D9D" w14:textId="1DCA9820" w:rsidR="00B634FC" w:rsidRPr="00DD09FD" w:rsidRDefault="00B634FC">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w:t>
      </w:r>
      <w:r w:rsidR="0052115E" w:rsidRPr="00DD09FD">
        <w:rPr>
          <w:rFonts w:ascii="Times New Roman" w:hAnsi="Times New Roman" w:cs="Times New Roman"/>
        </w:rPr>
        <w:t xml:space="preserve">Michael Hames-Garcia, </w:t>
      </w:r>
      <w:r w:rsidR="0052115E" w:rsidRPr="00DD09FD">
        <w:rPr>
          <w:rFonts w:ascii="Times New Roman" w:hAnsi="Times New Roman" w:cs="Times New Roman"/>
          <w:i/>
          <w:iCs/>
        </w:rPr>
        <w:t>Fugitive Thought: Prison Movements, Race, and the Meaning of Justice</w:t>
      </w:r>
      <w:r w:rsidRPr="00DD09FD">
        <w:rPr>
          <w:rFonts w:ascii="Times New Roman" w:hAnsi="Times New Roman" w:cs="Times New Roman"/>
        </w:rPr>
        <w:t xml:space="preserve"> (2004); </w:t>
      </w:r>
      <w:r w:rsidR="0052115E" w:rsidRPr="00DD09FD">
        <w:rPr>
          <w:rFonts w:ascii="Times New Roman" w:hAnsi="Times New Roman" w:cs="Times New Roman"/>
        </w:rPr>
        <w:t xml:space="preserve">Eric Cummins, </w:t>
      </w:r>
      <w:r w:rsidR="0052115E" w:rsidRPr="00DD09FD">
        <w:rPr>
          <w:rFonts w:ascii="Times New Roman" w:hAnsi="Times New Roman" w:cs="Times New Roman"/>
          <w:i/>
          <w:iCs/>
        </w:rPr>
        <w:t>The Rise and Fall of California’s Radical Prison Movement</w:t>
      </w:r>
      <w:r w:rsidRPr="00DD09FD">
        <w:rPr>
          <w:rFonts w:ascii="Times New Roman" w:hAnsi="Times New Roman" w:cs="Times New Roman"/>
        </w:rPr>
        <w:t xml:space="preserve"> (1994); </w:t>
      </w:r>
      <w:r w:rsidR="0052115E" w:rsidRPr="00DD09FD">
        <w:rPr>
          <w:rFonts w:ascii="Times New Roman" w:hAnsi="Times New Roman" w:cs="Times New Roman"/>
        </w:rPr>
        <w:t xml:space="preserve">Dan Berger, </w:t>
      </w:r>
      <w:r w:rsidR="0052115E" w:rsidRPr="00DD09FD">
        <w:rPr>
          <w:rFonts w:ascii="Times New Roman" w:hAnsi="Times New Roman" w:cs="Times New Roman"/>
          <w:i/>
          <w:iCs/>
        </w:rPr>
        <w:t>Captive Nation: Black Prison Organizing in the Civil Rights Era</w:t>
      </w:r>
      <w:r w:rsidR="0052115E" w:rsidRPr="00DD09FD">
        <w:rPr>
          <w:rFonts w:ascii="Times New Roman" w:hAnsi="Times New Roman" w:cs="Times New Roman"/>
        </w:rPr>
        <w:t xml:space="preserve"> (2014); Dan Berger, </w:t>
      </w:r>
      <w:r w:rsidR="0052115E" w:rsidRPr="00DD09FD">
        <w:rPr>
          <w:rFonts w:ascii="Times New Roman" w:hAnsi="Times New Roman" w:cs="Times New Roman"/>
          <w:i/>
          <w:iCs/>
        </w:rPr>
        <w:t>The Struggle Within: Prisons, Political Prisoners, and Mass Movements in the United States</w:t>
      </w:r>
      <w:r w:rsidR="0052115E" w:rsidRPr="00DD09FD">
        <w:rPr>
          <w:rFonts w:ascii="Times New Roman" w:hAnsi="Times New Roman" w:cs="Times New Roman"/>
        </w:rPr>
        <w:t xml:space="preserve"> (2014); Dan Berger &amp; Toussaint Losier, </w:t>
      </w:r>
      <w:r w:rsidR="0052115E" w:rsidRPr="00DD09FD">
        <w:rPr>
          <w:rFonts w:ascii="Times New Roman" w:hAnsi="Times New Roman" w:cs="Times New Roman"/>
          <w:i/>
          <w:iCs/>
        </w:rPr>
        <w:t>Rethinking the American Prison Movement</w:t>
      </w:r>
      <w:r w:rsidR="0052115E" w:rsidRPr="00DD09FD">
        <w:rPr>
          <w:rFonts w:ascii="Times New Roman" w:hAnsi="Times New Roman" w:cs="Times New Roman"/>
        </w:rPr>
        <w:t xml:space="preserve"> (2017); Robert T. Chase, </w:t>
      </w:r>
      <w:r w:rsidR="0052115E" w:rsidRPr="00DD09FD">
        <w:rPr>
          <w:rFonts w:ascii="Times New Roman" w:hAnsi="Times New Roman" w:cs="Times New Roman"/>
          <w:i/>
          <w:iCs/>
        </w:rPr>
        <w:t>We Are Not Slaves: State Violence, Coerced Labor, and Prisoners’ Rights in Postwar America</w:t>
      </w:r>
      <w:r w:rsidR="0052115E" w:rsidRPr="00DD09FD">
        <w:rPr>
          <w:rFonts w:ascii="Times New Roman" w:hAnsi="Times New Roman" w:cs="Times New Roman"/>
        </w:rPr>
        <w:t xml:space="preserve"> (2020).</w:t>
      </w:r>
    </w:p>
  </w:footnote>
  <w:footnote w:id="25">
    <w:p w14:paraId="3A3E47A1" w14:textId="03E3AD7B" w:rsidR="00216144" w:rsidRPr="00DD09FD" w:rsidRDefault="00216144" w:rsidP="00216144">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Stanley L. Engerman &amp; Kenneth L. Sokoloff, </w:t>
      </w:r>
      <w:r w:rsidRPr="00DD09FD">
        <w:rPr>
          <w:rFonts w:ascii="Times New Roman" w:hAnsi="Times New Roman" w:cs="Times New Roman"/>
          <w:i/>
          <w:iCs/>
        </w:rPr>
        <w:t>The Evolution of Suffrage Institutions in the New World,</w:t>
      </w:r>
      <w:r w:rsidRPr="00DD09FD">
        <w:rPr>
          <w:rFonts w:ascii="Times New Roman" w:hAnsi="Times New Roman" w:cs="Times New Roman"/>
        </w:rPr>
        <w:t xml:space="preserve"> 65 J. Econ. Hist. 891</w:t>
      </w:r>
      <w:r w:rsidR="00B8535A" w:rsidRPr="00DD09FD">
        <w:rPr>
          <w:rFonts w:ascii="Times New Roman" w:hAnsi="Times New Roman" w:cs="Times New Roman"/>
        </w:rPr>
        <w:t>, 903, n.26</w:t>
      </w:r>
      <w:r w:rsidRPr="00DD09FD">
        <w:rPr>
          <w:rFonts w:ascii="Times New Roman" w:hAnsi="Times New Roman" w:cs="Times New Roman"/>
        </w:rPr>
        <w:t xml:space="preserve"> (2005).</w:t>
      </w:r>
    </w:p>
  </w:footnote>
  <w:footnote w:id="26">
    <w:p w14:paraId="2D9C3618" w14:textId="1F01E58C" w:rsidR="00216144" w:rsidRPr="00DD09FD" w:rsidRDefault="00216144">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w:t>
      </w:r>
      <w:r w:rsidR="00F45A4F" w:rsidRPr="00DD09FD">
        <w:rPr>
          <w:rFonts w:ascii="Times New Roman" w:hAnsi="Times New Roman" w:cs="Times New Roman"/>
          <w:i/>
          <w:iCs/>
        </w:rPr>
        <w:t>Id.</w:t>
      </w:r>
      <w:r w:rsidR="00F45A4F" w:rsidRPr="00DD09FD">
        <w:rPr>
          <w:rFonts w:ascii="Times New Roman" w:hAnsi="Times New Roman" w:cs="Times New Roman"/>
        </w:rPr>
        <w:t xml:space="preserve"> </w:t>
      </w:r>
      <w:r w:rsidR="00EC717B" w:rsidRPr="00DD09FD">
        <w:rPr>
          <w:rFonts w:ascii="Times New Roman" w:hAnsi="Times New Roman" w:cs="Times New Roman"/>
        </w:rPr>
        <w:t>a</w:t>
      </w:r>
      <w:r w:rsidR="00F45A4F" w:rsidRPr="00DD09FD">
        <w:rPr>
          <w:rFonts w:ascii="Times New Roman" w:hAnsi="Times New Roman" w:cs="Times New Roman"/>
        </w:rPr>
        <w:t>t 903–04.</w:t>
      </w:r>
    </w:p>
  </w:footnote>
  <w:footnote w:id="27">
    <w:p w14:paraId="5E30E0EF" w14:textId="58BF78BF" w:rsidR="00EC717B" w:rsidRPr="00DD09FD" w:rsidRDefault="00EC717B">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i/>
          <w:iCs/>
        </w:rPr>
        <w:t>Id.</w:t>
      </w:r>
      <w:r w:rsidRPr="00DD09FD">
        <w:rPr>
          <w:rFonts w:ascii="Times New Roman" w:hAnsi="Times New Roman" w:cs="Times New Roman"/>
        </w:rPr>
        <w:t xml:space="preserve"> at 903, n.26.</w:t>
      </w:r>
    </w:p>
  </w:footnote>
  <w:footnote w:id="28">
    <w:p w14:paraId="57E43E4B" w14:textId="66BB8083" w:rsidR="00E674F6" w:rsidRPr="00DD09FD" w:rsidRDefault="00E674F6">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Alexander </w:t>
      </w:r>
      <w:proofErr w:type="spellStart"/>
      <w:r w:rsidRPr="00DD09FD">
        <w:rPr>
          <w:rFonts w:ascii="Times New Roman" w:hAnsi="Times New Roman" w:cs="Times New Roman"/>
        </w:rPr>
        <w:t>Keyssar</w:t>
      </w:r>
      <w:proofErr w:type="spellEnd"/>
      <w:r w:rsidRPr="00DD09FD">
        <w:rPr>
          <w:rFonts w:ascii="Times New Roman" w:hAnsi="Times New Roman" w:cs="Times New Roman"/>
        </w:rPr>
        <w:t xml:space="preserve">, </w:t>
      </w:r>
      <w:r w:rsidRPr="00DD09FD">
        <w:rPr>
          <w:rFonts w:ascii="Times New Roman" w:hAnsi="Times New Roman" w:cs="Times New Roman"/>
          <w:i/>
          <w:iCs/>
        </w:rPr>
        <w:t>The Right to Vote: The Contested History of Democracy in the United States</w:t>
      </w:r>
      <w:r w:rsidRPr="00DD09FD">
        <w:rPr>
          <w:rFonts w:ascii="Times New Roman" w:hAnsi="Times New Roman" w:cs="Times New Roman"/>
        </w:rPr>
        <w:t xml:space="preserve"> 20 (2000).</w:t>
      </w:r>
    </w:p>
  </w:footnote>
  <w:footnote w:id="29">
    <w:p w14:paraId="475FF049" w14:textId="793D852B" w:rsidR="00E72E00" w:rsidRPr="00DD09FD" w:rsidRDefault="00E72E00">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Jeff </w:t>
      </w:r>
      <w:proofErr w:type="spellStart"/>
      <w:r w:rsidRPr="00DD09FD">
        <w:rPr>
          <w:rFonts w:ascii="Times New Roman" w:hAnsi="Times New Roman" w:cs="Times New Roman"/>
        </w:rPr>
        <w:t>Manza</w:t>
      </w:r>
      <w:proofErr w:type="spellEnd"/>
      <w:r w:rsidRPr="00DD09FD">
        <w:rPr>
          <w:rFonts w:ascii="Times New Roman" w:hAnsi="Times New Roman" w:cs="Times New Roman"/>
        </w:rPr>
        <w:t xml:space="preserve"> &amp; Christopher </w:t>
      </w:r>
      <w:proofErr w:type="spellStart"/>
      <w:r w:rsidRPr="00DD09FD">
        <w:rPr>
          <w:rFonts w:ascii="Times New Roman" w:hAnsi="Times New Roman" w:cs="Times New Roman"/>
        </w:rPr>
        <w:t>Uggen</w:t>
      </w:r>
      <w:proofErr w:type="spellEnd"/>
      <w:r w:rsidRPr="00DD09FD">
        <w:rPr>
          <w:rFonts w:ascii="Times New Roman" w:hAnsi="Times New Roman" w:cs="Times New Roman"/>
        </w:rPr>
        <w:t xml:space="preserve">, </w:t>
      </w:r>
      <w:r w:rsidRPr="00DD09FD">
        <w:rPr>
          <w:rFonts w:ascii="Times New Roman" w:hAnsi="Times New Roman" w:cs="Times New Roman"/>
          <w:i/>
          <w:iCs/>
        </w:rPr>
        <w:t>Locked Out: Felon Disenfranchisement and American Democracy</w:t>
      </w:r>
      <w:r w:rsidRPr="00DD09FD">
        <w:rPr>
          <w:rFonts w:ascii="Times New Roman" w:hAnsi="Times New Roman" w:cs="Times New Roman"/>
        </w:rPr>
        <w:t xml:space="preserve"> (2006).</w:t>
      </w:r>
    </w:p>
  </w:footnote>
  <w:footnote w:id="30">
    <w:p w14:paraId="1502ED8A" w14:textId="70BDE1C1" w:rsidR="008E61A7" w:rsidRPr="00DD09FD" w:rsidRDefault="008E61A7">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52 U.S. Code </w:t>
      </w:r>
      <w:r w:rsidR="00453D32" w:rsidRPr="00DD09FD">
        <w:rPr>
          <w:rFonts w:ascii="Times New Roman" w:hAnsi="Times New Roman" w:cs="Times New Roman"/>
        </w:rPr>
        <w:t>§ 10101.</w:t>
      </w:r>
    </w:p>
  </w:footnote>
  <w:footnote w:id="31">
    <w:p w14:paraId="79C9AAA0" w14:textId="2F92BD34" w:rsidR="00101317" w:rsidRPr="00DD09FD" w:rsidRDefault="00101317">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Nicholas De Genova, “The Legal Production of Mexican/Migrant ‘Illegality’”</w:t>
      </w:r>
      <w:r w:rsidR="000A1471" w:rsidRPr="00DD09FD">
        <w:rPr>
          <w:rFonts w:ascii="Times New Roman" w:hAnsi="Times New Roman" w:cs="Times New Roman"/>
        </w:rPr>
        <w:t xml:space="preserve"> 2, 160 </w:t>
      </w:r>
      <w:r w:rsidR="000A1471" w:rsidRPr="00DD09FD">
        <w:rPr>
          <w:rFonts w:ascii="Times New Roman" w:hAnsi="Times New Roman" w:cs="Times New Roman"/>
          <w:i/>
          <w:iCs/>
        </w:rPr>
        <w:t>Latino Stud</w:t>
      </w:r>
      <w:r w:rsidR="00B54456" w:rsidRPr="00DD09FD">
        <w:rPr>
          <w:rFonts w:ascii="Times New Roman" w:hAnsi="Times New Roman" w:cs="Times New Roman"/>
          <w:i/>
          <w:iCs/>
        </w:rPr>
        <w:t>.</w:t>
      </w:r>
      <w:r w:rsidR="000A1471" w:rsidRPr="00DD09FD">
        <w:rPr>
          <w:rFonts w:ascii="Times New Roman" w:hAnsi="Times New Roman" w:cs="Times New Roman"/>
        </w:rPr>
        <w:t xml:space="preserve"> (2004).</w:t>
      </w:r>
    </w:p>
  </w:footnote>
  <w:footnote w:id="32">
    <w:p w14:paraId="3508D520" w14:textId="0E260963" w:rsidR="00B54456" w:rsidRPr="00DD09FD" w:rsidRDefault="00B54456">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Renato Rosaldo, “Cultural Citizenship in San Jose, California” 17(2) </w:t>
      </w:r>
      <w:r w:rsidRPr="00DD09FD">
        <w:rPr>
          <w:rFonts w:ascii="Times New Roman" w:hAnsi="Times New Roman" w:cs="Times New Roman"/>
          <w:i/>
          <w:iCs/>
        </w:rPr>
        <w:t>Pol. &amp; Legal Anthropology Rev.</w:t>
      </w:r>
      <w:r w:rsidRPr="00DD09FD">
        <w:rPr>
          <w:rFonts w:ascii="Times New Roman" w:hAnsi="Times New Roman" w:cs="Times New Roman"/>
        </w:rPr>
        <w:t xml:space="preserve"> (1994) 57–63. See also, William R. Flores &amp; Rina </w:t>
      </w:r>
      <w:proofErr w:type="spellStart"/>
      <w:r w:rsidRPr="00DD09FD">
        <w:rPr>
          <w:rFonts w:ascii="Times New Roman" w:hAnsi="Times New Roman" w:cs="Times New Roman"/>
        </w:rPr>
        <w:t>Benmayor</w:t>
      </w:r>
      <w:proofErr w:type="spellEnd"/>
      <w:r w:rsidRPr="00DD09FD">
        <w:rPr>
          <w:rFonts w:ascii="Times New Roman" w:hAnsi="Times New Roman" w:cs="Times New Roman"/>
        </w:rPr>
        <w:t xml:space="preserve"> (eds.), </w:t>
      </w:r>
      <w:r w:rsidRPr="00DD09FD">
        <w:rPr>
          <w:rFonts w:ascii="Times New Roman" w:hAnsi="Times New Roman" w:cs="Times New Roman"/>
          <w:i/>
          <w:iCs/>
        </w:rPr>
        <w:t>Latino Cultural Citizenship: Claiming Identity, Space, and Rights</w:t>
      </w:r>
      <w:r w:rsidRPr="00DD09FD">
        <w:rPr>
          <w:rFonts w:ascii="Times New Roman" w:hAnsi="Times New Roman" w:cs="Times New Roman"/>
        </w:rPr>
        <w:t xml:space="preserve"> (2004).</w:t>
      </w:r>
    </w:p>
  </w:footnote>
  <w:footnote w:id="33">
    <w:p w14:paraId="773D92DE" w14:textId="48E6C8F5" w:rsidR="009F6C88" w:rsidRPr="00DD09FD" w:rsidRDefault="009F6C88">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Prisoner’s Alliance with Community, “The Non-Traditional Approach to Criminal &amp; Social Justice,” rev. ed. (1997).</w:t>
      </w:r>
    </w:p>
  </w:footnote>
  <w:footnote w:id="34">
    <w:p w14:paraId="78734A76" w14:textId="7C8B4D61" w:rsidR="00DD09FD" w:rsidRPr="00DD09FD" w:rsidRDefault="00DD09FD">
      <w:pPr>
        <w:pStyle w:val="FootnoteText"/>
        <w:rPr>
          <w:rFonts w:ascii="Times New Roman" w:hAnsi="Times New Roman" w:cs="Times New Roman"/>
        </w:rPr>
      </w:pPr>
      <w:r w:rsidRPr="00DD09FD">
        <w:rPr>
          <w:rStyle w:val="FootnoteReference"/>
          <w:rFonts w:ascii="Times New Roman" w:hAnsi="Times New Roman" w:cs="Times New Roman"/>
        </w:rPr>
        <w:footnoteRef/>
      </w:r>
      <w:r w:rsidRPr="00DD09FD">
        <w:rPr>
          <w:rFonts w:ascii="Times New Roman" w:hAnsi="Times New Roman" w:cs="Times New Roman"/>
        </w:rPr>
        <w:t xml:space="preserve"> Thomas P. Lebel, Matt </w:t>
      </w:r>
      <w:proofErr w:type="spellStart"/>
      <w:r w:rsidRPr="00DD09FD">
        <w:rPr>
          <w:rFonts w:ascii="Times New Roman" w:hAnsi="Times New Roman" w:cs="Times New Roman"/>
        </w:rPr>
        <w:t>Richiue</w:t>
      </w:r>
      <w:proofErr w:type="spellEnd"/>
      <w:r w:rsidRPr="00DD09FD">
        <w:rPr>
          <w:rFonts w:ascii="Times New Roman" w:hAnsi="Times New Roman" w:cs="Times New Roman"/>
        </w:rPr>
        <w:t xml:space="preserve">, &amp; Shadd </w:t>
      </w:r>
      <w:proofErr w:type="spellStart"/>
      <w:r w:rsidRPr="00DD09FD">
        <w:rPr>
          <w:rFonts w:ascii="Times New Roman" w:hAnsi="Times New Roman" w:cs="Times New Roman"/>
        </w:rPr>
        <w:t>Maruna</w:t>
      </w:r>
      <w:proofErr w:type="spellEnd"/>
      <w:r w:rsidRPr="00DD09FD">
        <w:rPr>
          <w:rFonts w:ascii="Times New Roman" w:hAnsi="Times New Roman" w:cs="Times New Roman"/>
        </w:rPr>
        <w:t xml:space="preserve">, “Helping Others as a Response to Reconcile a Criminal Past: The Role of the Wounded Healer in Prisoner Reentry Programs” 42, 108 </w:t>
      </w:r>
      <w:r w:rsidRPr="00DD09FD">
        <w:rPr>
          <w:rFonts w:ascii="Times New Roman" w:hAnsi="Times New Roman" w:cs="Times New Roman"/>
          <w:i/>
          <w:iCs/>
        </w:rPr>
        <w:t>Criminal Justice and Behavior</w:t>
      </w:r>
      <w:r w:rsidRPr="00DD09FD">
        <w:rPr>
          <w:rFonts w:ascii="Times New Roman" w:hAnsi="Times New Roman" w:cs="Times New Roman"/>
        </w:rPr>
        <w:t xml:space="preserve">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47DB8"/>
    <w:multiLevelType w:val="hybridMultilevel"/>
    <w:tmpl w:val="3F28308C"/>
    <w:lvl w:ilvl="0" w:tplc="94FAB196">
      <w:start w:val="1"/>
      <w:numFmt w:val="upperRoman"/>
      <w:lvlText w:val="%1."/>
      <w:lvlJc w:val="left"/>
      <w:pPr>
        <w:ind w:left="270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6F7BA1"/>
    <w:multiLevelType w:val="hybridMultilevel"/>
    <w:tmpl w:val="35764D2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4658733E"/>
    <w:multiLevelType w:val="hybridMultilevel"/>
    <w:tmpl w:val="D92E34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BB447B2"/>
    <w:multiLevelType w:val="hybridMultilevel"/>
    <w:tmpl w:val="D92E34A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7D7B1E0B"/>
    <w:multiLevelType w:val="hybridMultilevel"/>
    <w:tmpl w:val="90CC65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464545810">
    <w:abstractNumId w:val="0"/>
  </w:num>
  <w:num w:numId="2" w16cid:durableId="925961458">
    <w:abstractNumId w:val="2"/>
  </w:num>
  <w:num w:numId="3" w16cid:durableId="759958182">
    <w:abstractNumId w:val="3"/>
  </w:num>
  <w:num w:numId="4" w16cid:durableId="1939020999">
    <w:abstractNumId w:val="1"/>
  </w:num>
  <w:num w:numId="5" w16cid:durableId="717123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FB0"/>
    <w:rsid w:val="0000201D"/>
    <w:rsid w:val="00051B47"/>
    <w:rsid w:val="000522E0"/>
    <w:rsid w:val="00053488"/>
    <w:rsid w:val="0007351E"/>
    <w:rsid w:val="00080441"/>
    <w:rsid w:val="00083267"/>
    <w:rsid w:val="000A1471"/>
    <w:rsid w:val="000D205E"/>
    <w:rsid w:val="00100787"/>
    <w:rsid w:val="00101317"/>
    <w:rsid w:val="00104E5B"/>
    <w:rsid w:val="001157CF"/>
    <w:rsid w:val="001174E1"/>
    <w:rsid w:val="00171B10"/>
    <w:rsid w:val="0018790C"/>
    <w:rsid w:val="001B14E7"/>
    <w:rsid w:val="001B1F5F"/>
    <w:rsid w:val="001E1214"/>
    <w:rsid w:val="001F0EBB"/>
    <w:rsid w:val="00202470"/>
    <w:rsid w:val="00211688"/>
    <w:rsid w:val="00216144"/>
    <w:rsid w:val="00232E56"/>
    <w:rsid w:val="00263481"/>
    <w:rsid w:val="002A3109"/>
    <w:rsid w:val="002C5780"/>
    <w:rsid w:val="00351C73"/>
    <w:rsid w:val="00383292"/>
    <w:rsid w:val="00387F6B"/>
    <w:rsid w:val="003D6B07"/>
    <w:rsid w:val="004039FD"/>
    <w:rsid w:val="00411AE9"/>
    <w:rsid w:val="0043386A"/>
    <w:rsid w:val="0044126A"/>
    <w:rsid w:val="00453D32"/>
    <w:rsid w:val="004713ED"/>
    <w:rsid w:val="00472E83"/>
    <w:rsid w:val="00497DA9"/>
    <w:rsid w:val="004B58EB"/>
    <w:rsid w:val="004D2FA7"/>
    <w:rsid w:val="004E2A5C"/>
    <w:rsid w:val="004E6A7A"/>
    <w:rsid w:val="004E77B9"/>
    <w:rsid w:val="004F22FF"/>
    <w:rsid w:val="005052DC"/>
    <w:rsid w:val="00513CAE"/>
    <w:rsid w:val="0052115E"/>
    <w:rsid w:val="00530D33"/>
    <w:rsid w:val="00590886"/>
    <w:rsid w:val="005C567C"/>
    <w:rsid w:val="00633855"/>
    <w:rsid w:val="00644CA4"/>
    <w:rsid w:val="00651FDF"/>
    <w:rsid w:val="00667A90"/>
    <w:rsid w:val="006770FF"/>
    <w:rsid w:val="006C3914"/>
    <w:rsid w:val="00716E38"/>
    <w:rsid w:val="00744305"/>
    <w:rsid w:val="007535FC"/>
    <w:rsid w:val="00754E0C"/>
    <w:rsid w:val="00785083"/>
    <w:rsid w:val="00793192"/>
    <w:rsid w:val="007B48BE"/>
    <w:rsid w:val="007C27D4"/>
    <w:rsid w:val="008025DE"/>
    <w:rsid w:val="0081098C"/>
    <w:rsid w:val="00820DD1"/>
    <w:rsid w:val="00863807"/>
    <w:rsid w:val="00884751"/>
    <w:rsid w:val="00896891"/>
    <w:rsid w:val="008C37B2"/>
    <w:rsid w:val="008E1647"/>
    <w:rsid w:val="008E61A7"/>
    <w:rsid w:val="008E6E9B"/>
    <w:rsid w:val="0092255D"/>
    <w:rsid w:val="0095708E"/>
    <w:rsid w:val="00983E97"/>
    <w:rsid w:val="009B7B76"/>
    <w:rsid w:val="009E531C"/>
    <w:rsid w:val="009E628F"/>
    <w:rsid w:val="009E7231"/>
    <w:rsid w:val="009F648A"/>
    <w:rsid w:val="009F6C88"/>
    <w:rsid w:val="00A00239"/>
    <w:rsid w:val="00A06EDC"/>
    <w:rsid w:val="00A12EB1"/>
    <w:rsid w:val="00A43438"/>
    <w:rsid w:val="00A5440C"/>
    <w:rsid w:val="00A9720E"/>
    <w:rsid w:val="00AB4D25"/>
    <w:rsid w:val="00AC022A"/>
    <w:rsid w:val="00AC057F"/>
    <w:rsid w:val="00AD448D"/>
    <w:rsid w:val="00AE1B2B"/>
    <w:rsid w:val="00AE6A30"/>
    <w:rsid w:val="00B15CD0"/>
    <w:rsid w:val="00B54456"/>
    <w:rsid w:val="00B634FC"/>
    <w:rsid w:val="00B770D3"/>
    <w:rsid w:val="00B8535A"/>
    <w:rsid w:val="00B85E77"/>
    <w:rsid w:val="00B950B5"/>
    <w:rsid w:val="00BB7539"/>
    <w:rsid w:val="00BC1EA3"/>
    <w:rsid w:val="00BE703D"/>
    <w:rsid w:val="00C15EAB"/>
    <w:rsid w:val="00C44C28"/>
    <w:rsid w:val="00C50C4E"/>
    <w:rsid w:val="00C5468E"/>
    <w:rsid w:val="00CA6A98"/>
    <w:rsid w:val="00CC68BE"/>
    <w:rsid w:val="00CD140A"/>
    <w:rsid w:val="00CF53C7"/>
    <w:rsid w:val="00D3750E"/>
    <w:rsid w:val="00D523B0"/>
    <w:rsid w:val="00D56F63"/>
    <w:rsid w:val="00D66B95"/>
    <w:rsid w:val="00D803E7"/>
    <w:rsid w:val="00DB0858"/>
    <w:rsid w:val="00DC6205"/>
    <w:rsid w:val="00DC685E"/>
    <w:rsid w:val="00DD09FD"/>
    <w:rsid w:val="00DD1858"/>
    <w:rsid w:val="00DF6A9B"/>
    <w:rsid w:val="00E00975"/>
    <w:rsid w:val="00E01350"/>
    <w:rsid w:val="00E0499D"/>
    <w:rsid w:val="00E054B5"/>
    <w:rsid w:val="00E24F5C"/>
    <w:rsid w:val="00E5513C"/>
    <w:rsid w:val="00E64E5B"/>
    <w:rsid w:val="00E674F6"/>
    <w:rsid w:val="00E72E00"/>
    <w:rsid w:val="00EB31B6"/>
    <w:rsid w:val="00EC5F86"/>
    <w:rsid w:val="00EC717B"/>
    <w:rsid w:val="00EF0954"/>
    <w:rsid w:val="00EF2869"/>
    <w:rsid w:val="00F21FB0"/>
    <w:rsid w:val="00F236D9"/>
    <w:rsid w:val="00F269C3"/>
    <w:rsid w:val="00F32A46"/>
    <w:rsid w:val="00F433C5"/>
    <w:rsid w:val="00F45A4F"/>
    <w:rsid w:val="00FB3A32"/>
    <w:rsid w:val="00FC31E7"/>
    <w:rsid w:val="00FD740D"/>
    <w:rsid w:val="00FF1D14"/>
    <w:rsid w:val="00FF4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91FFE"/>
  <w15:chartTrackingRefBased/>
  <w15:docId w15:val="{B2297B69-68D7-DE48-8978-81C2613A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1F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1F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1F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1F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1F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1F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1F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F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F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F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1F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1F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1F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1F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1F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F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F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FB0"/>
    <w:rPr>
      <w:rFonts w:eastAsiaTheme="majorEastAsia" w:cstheme="majorBidi"/>
      <w:color w:val="272727" w:themeColor="text1" w:themeTint="D8"/>
    </w:rPr>
  </w:style>
  <w:style w:type="paragraph" w:styleId="Title">
    <w:name w:val="Title"/>
    <w:basedOn w:val="Normal"/>
    <w:next w:val="Normal"/>
    <w:link w:val="TitleChar"/>
    <w:uiPriority w:val="10"/>
    <w:qFormat/>
    <w:rsid w:val="00F21F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1F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1F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1F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FB0"/>
    <w:pPr>
      <w:spacing w:before="160"/>
      <w:jc w:val="center"/>
    </w:pPr>
    <w:rPr>
      <w:i/>
      <w:iCs/>
      <w:color w:val="404040" w:themeColor="text1" w:themeTint="BF"/>
    </w:rPr>
  </w:style>
  <w:style w:type="character" w:customStyle="1" w:styleId="QuoteChar">
    <w:name w:val="Quote Char"/>
    <w:basedOn w:val="DefaultParagraphFont"/>
    <w:link w:val="Quote"/>
    <w:uiPriority w:val="29"/>
    <w:rsid w:val="00F21FB0"/>
    <w:rPr>
      <w:i/>
      <w:iCs/>
      <w:color w:val="404040" w:themeColor="text1" w:themeTint="BF"/>
    </w:rPr>
  </w:style>
  <w:style w:type="paragraph" w:styleId="ListParagraph">
    <w:name w:val="List Paragraph"/>
    <w:basedOn w:val="Normal"/>
    <w:uiPriority w:val="34"/>
    <w:qFormat/>
    <w:rsid w:val="00F21FB0"/>
    <w:pPr>
      <w:ind w:left="720"/>
      <w:contextualSpacing/>
    </w:pPr>
  </w:style>
  <w:style w:type="character" w:styleId="IntenseEmphasis">
    <w:name w:val="Intense Emphasis"/>
    <w:basedOn w:val="DefaultParagraphFont"/>
    <w:uiPriority w:val="21"/>
    <w:qFormat/>
    <w:rsid w:val="00F21FB0"/>
    <w:rPr>
      <w:i/>
      <w:iCs/>
      <w:color w:val="0F4761" w:themeColor="accent1" w:themeShade="BF"/>
    </w:rPr>
  </w:style>
  <w:style w:type="paragraph" w:styleId="IntenseQuote">
    <w:name w:val="Intense Quote"/>
    <w:basedOn w:val="Normal"/>
    <w:next w:val="Normal"/>
    <w:link w:val="IntenseQuoteChar"/>
    <w:uiPriority w:val="30"/>
    <w:qFormat/>
    <w:rsid w:val="00F21F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1FB0"/>
    <w:rPr>
      <w:i/>
      <w:iCs/>
      <w:color w:val="0F4761" w:themeColor="accent1" w:themeShade="BF"/>
    </w:rPr>
  </w:style>
  <w:style w:type="character" w:styleId="IntenseReference">
    <w:name w:val="Intense Reference"/>
    <w:basedOn w:val="DefaultParagraphFont"/>
    <w:uiPriority w:val="32"/>
    <w:qFormat/>
    <w:rsid w:val="00F21FB0"/>
    <w:rPr>
      <w:b/>
      <w:bCs/>
      <w:smallCaps/>
      <w:color w:val="0F4761" w:themeColor="accent1" w:themeShade="BF"/>
      <w:spacing w:val="5"/>
    </w:rPr>
  </w:style>
  <w:style w:type="character" w:styleId="LineNumber">
    <w:name w:val="line number"/>
    <w:basedOn w:val="DefaultParagraphFont"/>
    <w:uiPriority w:val="99"/>
    <w:semiHidden/>
    <w:unhideWhenUsed/>
    <w:rsid w:val="00497DA9"/>
  </w:style>
  <w:style w:type="paragraph" w:styleId="FootnoteText">
    <w:name w:val="footnote text"/>
    <w:basedOn w:val="Normal"/>
    <w:link w:val="FootnoteTextChar"/>
    <w:uiPriority w:val="99"/>
    <w:unhideWhenUsed/>
    <w:rsid w:val="00AD448D"/>
    <w:pPr>
      <w:spacing w:after="0" w:line="240" w:lineRule="auto"/>
    </w:pPr>
    <w:rPr>
      <w:sz w:val="20"/>
      <w:szCs w:val="20"/>
    </w:rPr>
  </w:style>
  <w:style w:type="character" w:customStyle="1" w:styleId="FootnoteTextChar">
    <w:name w:val="Footnote Text Char"/>
    <w:basedOn w:val="DefaultParagraphFont"/>
    <w:link w:val="FootnoteText"/>
    <w:uiPriority w:val="99"/>
    <w:rsid w:val="00AD448D"/>
    <w:rPr>
      <w:sz w:val="20"/>
      <w:szCs w:val="20"/>
    </w:rPr>
  </w:style>
  <w:style w:type="character" w:styleId="FootnoteReference">
    <w:name w:val="footnote reference"/>
    <w:basedOn w:val="DefaultParagraphFont"/>
    <w:uiPriority w:val="99"/>
    <w:semiHidden/>
    <w:unhideWhenUsed/>
    <w:rsid w:val="00AD448D"/>
    <w:rPr>
      <w:vertAlign w:val="superscript"/>
    </w:rPr>
  </w:style>
  <w:style w:type="character" w:styleId="Hyperlink">
    <w:name w:val="Hyperlink"/>
    <w:basedOn w:val="DefaultParagraphFont"/>
    <w:uiPriority w:val="99"/>
    <w:unhideWhenUsed/>
    <w:rsid w:val="00AC022A"/>
    <w:rPr>
      <w:color w:val="467886" w:themeColor="hyperlink"/>
      <w:u w:val="single"/>
    </w:rPr>
  </w:style>
  <w:style w:type="character" w:styleId="UnresolvedMention">
    <w:name w:val="Unresolved Mention"/>
    <w:basedOn w:val="DefaultParagraphFont"/>
    <w:uiPriority w:val="99"/>
    <w:semiHidden/>
    <w:unhideWhenUsed/>
    <w:rsid w:val="00AC022A"/>
    <w:rPr>
      <w:color w:val="605E5C"/>
      <w:shd w:val="clear" w:color="auto" w:fill="E1DFDD"/>
    </w:rPr>
  </w:style>
  <w:style w:type="paragraph" w:styleId="Caption">
    <w:name w:val="caption"/>
    <w:basedOn w:val="Normal"/>
    <w:next w:val="Normal"/>
    <w:uiPriority w:val="35"/>
    <w:unhideWhenUsed/>
    <w:qFormat/>
    <w:rsid w:val="00FC31E7"/>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232E56"/>
    <w:rPr>
      <w:sz w:val="16"/>
      <w:szCs w:val="16"/>
    </w:rPr>
  </w:style>
  <w:style w:type="paragraph" w:styleId="CommentText">
    <w:name w:val="annotation text"/>
    <w:basedOn w:val="Normal"/>
    <w:link w:val="CommentTextChar"/>
    <w:uiPriority w:val="99"/>
    <w:semiHidden/>
    <w:unhideWhenUsed/>
    <w:rsid w:val="00232E56"/>
    <w:pPr>
      <w:spacing w:line="240" w:lineRule="auto"/>
    </w:pPr>
    <w:rPr>
      <w:sz w:val="20"/>
      <w:szCs w:val="20"/>
    </w:rPr>
  </w:style>
  <w:style w:type="character" w:customStyle="1" w:styleId="CommentTextChar">
    <w:name w:val="Comment Text Char"/>
    <w:basedOn w:val="DefaultParagraphFont"/>
    <w:link w:val="CommentText"/>
    <w:uiPriority w:val="99"/>
    <w:semiHidden/>
    <w:rsid w:val="00232E56"/>
    <w:rPr>
      <w:sz w:val="20"/>
      <w:szCs w:val="20"/>
    </w:rPr>
  </w:style>
  <w:style w:type="paragraph" w:styleId="CommentSubject">
    <w:name w:val="annotation subject"/>
    <w:basedOn w:val="CommentText"/>
    <w:next w:val="CommentText"/>
    <w:link w:val="CommentSubjectChar"/>
    <w:uiPriority w:val="99"/>
    <w:semiHidden/>
    <w:unhideWhenUsed/>
    <w:rsid w:val="00232E56"/>
    <w:rPr>
      <w:b/>
      <w:bCs/>
    </w:rPr>
  </w:style>
  <w:style w:type="character" w:customStyle="1" w:styleId="CommentSubjectChar">
    <w:name w:val="Comment Subject Char"/>
    <w:basedOn w:val="CommentTextChar"/>
    <w:link w:val="CommentSubject"/>
    <w:uiPriority w:val="99"/>
    <w:semiHidden/>
    <w:rsid w:val="00232E56"/>
    <w:rPr>
      <w:b/>
      <w:bCs/>
      <w:sz w:val="20"/>
      <w:szCs w:val="20"/>
    </w:rPr>
  </w:style>
  <w:style w:type="paragraph" w:styleId="BodyText">
    <w:name w:val="Body Text"/>
    <w:link w:val="BodyTextChar"/>
    <w:uiPriority w:val="99"/>
    <w:unhideWhenUsed/>
    <w:qFormat/>
    <w:rsid w:val="00171B10"/>
    <w:pPr>
      <w:spacing w:after="0" w:line="480" w:lineRule="auto"/>
      <w:ind w:firstLine="720"/>
    </w:pPr>
    <w:rPr>
      <w:rFonts w:ascii="Cambria" w:hAnsi="Cambria"/>
      <w:iCs/>
      <w:color w:val="000000" w:themeColor="text1"/>
      <w:kern w:val="0"/>
      <w14:ligatures w14:val="none"/>
    </w:rPr>
  </w:style>
  <w:style w:type="character" w:customStyle="1" w:styleId="BodyTextChar">
    <w:name w:val="Body Text Char"/>
    <w:basedOn w:val="DefaultParagraphFont"/>
    <w:link w:val="BodyText"/>
    <w:uiPriority w:val="99"/>
    <w:rsid w:val="00171B10"/>
    <w:rPr>
      <w:rFonts w:ascii="Cambria" w:hAnsi="Cambria"/>
      <w:iCs/>
      <w:color w:val="000000" w:themeColor="text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pewhispanic.org/fact-sheet/latinos-in-the-2016-election-california/"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2307/1142865" TargetMode="External"/><Relationship Id="rId2" Type="http://schemas.openxmlformats.org/officeDocument/2006/relationships/hyperlink" Target="https://doi.org/10.2307/1142990" TargetMode="External"/><Relationship Id="rId1" Type="http://schemas.openxmlformats.org/officeDocument/2006/relationships/hyperlink" Target="http://www.jstor.org/stable/169751" TargetMode="External"/><Relationship Id="rId4" Type="http://schemas.openxmlformats.org/officeDocument/2006/relationships/hyperlink" Target="https://doi.org/10.1177/001112877902500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4764</Words>
  <Characters>27156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Roy Hames García</dc:creator>
  <cp:keywords/>
  <dc:description/>
  <cp:lastModifiedBy>Microsoft Office User</cp:lastModifiedBy>
  <cp:revision>2</cp:revision>
  <dcterms:created xsi:type="dcterms:W3CDTF">2026-04-08T19:32:00Z</dcterms:created>
  <dcterms:modified xsi:type="dcterms:W3CDTF">2026-04-08T19:32:00Z</dcterms:modified>
  <cp:category/>
</cp:coreProperties>
</file>